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70BE4BAC" w:rsidR="003631E0" w:rsidRPr="00D53AFE" w:rsidRDefault="003631E0" w:rsidP="00CD7EF7">
      <w:pPr>
        <w:pStyle w:val="MH1nonumb"/>
        <w:spacing w:after="0"/>
      </w:pPr>
      <w:r w:rsidRPr="00D53AFE">
        <w:t>EXECUTIVE SUMMARY – I</w:t>
      </w:r>
      <w:r w:rsidR="00360212" w:rsidRPr="00D53AFE">
        <w:t>NVESTORS’ RESIDENCE SCHEMES IN SPAIN</w:t>
      </w:r>
    </w:p>
    <w:p w14:paraId="494B7AD3" w14:textId="77777777" w:rsidR="00C04A3A" w:rsidRPr="00D53AFE" w:rsidRDefault="00C04A3A" w:rsidP="00CD7EF7">
      <w:pPr>
        <w:spacing w:after="0" w:line="240" w:lineRule="auto"/>
        <w:rPr>
          <w:b/>
          <w:i/>
          <w:sz w:val="22"/>
          <w:szCs w:val="22"/>
        </w:rPr>
      </w:pPr>
    </w:p>
    <w:p w14:paraId="70155622" w14:textId="156470E3" w:rsidR="00C20061" w:rsidRPr="00D53AFE" w:rsidRDefault="00C20061" w:rsidP="00CD7EF7">
      <w:pPr>
        <w:spacing w:after="0" w:line="240" w:lineRule="auto"/>
        <w:rPr>
          <w:b/>
          <w:i/>
          <w:sz w:val="22"/>
          <w:szCs w:val="22"/>
        </w:rPr>
      </w:pPr>
      <w:r w:rsidRPr="00D53AFE">
        <w:rPr>
          <w:b/>
          <w:i/>
          <w:sz w:val="22"/>
          <w:szCs w:val="22"/>
        </w:rPr>
        <w:t>General background</w:t>
      </w:r>
      <w:bookmarkStart w:id="0" w:name="_GoBack"/>
      <w:bookmarkEnd w:id="0"/>
    </w:p>
    <w:p w14:paraId="4F733C91" w14:textId="77777777" w:rsidR="004A58AE" w:rsidRPr="00D53AFE" w:rsidRDefault="004A58AE" w:rsidP="00CD7EF7">
      <w:pPr>
        <w:widowControl w:val="0"/>
        <w:spacing w:after="0" w:line="240" w:lineRule="auto"/>
        <w:jc w:val="both"/>
        <w:rPr>
          <w:rFonts w:eastAsia="Times New Roman"/>
          <w:b/>
          <w:bCs/>
          <w:color w:val="000000"/>
          <w:sz w:val="22"/>
          <w:szCs w:val="22"/>
          <w:lang w:eastAsia="fr-FR"/>
        </w:rPr>
      </w:pPr>
    </w:p>
    <w:p w14:paraId="7AD8E47B" w14:textId="6FB3B9A1" w:rsidR="00360212" w:rsidRPr="00D53AFE" w:rsidRDefault="00360212" w:rsidP="00CD7EF7">
      <w:pPr>
        <w:widowControl w:val="0"/>
        <w:spacing w:after="0" w:line="240" w:lineRule="auto"/>
        <w:jc w:val="both"/>
        <w:rPr>
          <w:rFonts w:eastAsia="Times New Roman"/>
          <w:bCs/>
          <w:color w:val="000000"/>
          <w:sz w:val="22"/>
          <w:szCs w:val="22"/>
          <w:lang w:eastAsia="fr-FR"/>
        </w:rPr>
      </w:pPr>
      <w:r w:rsidRPr="00D53AFE">
        <w:rPr>
          <w:rFonts w:eastAsia="Times New Roman"/>
          <w:b/>
          <w:bCs/>
          <w:color w:val="000000"/>
          <w:sz w:val="22"/>
          <w:szCs w:val="22"/>
          <w:lang w:eastAsia="fr-FR"/>
        </w:rPr>
        <w:t xml:space="preserve">Spain </w:t>
      </w:r>
      <w:r w:rsidR="00277CCE" w:rsidRPr="00D53AFE">
        <w:rPr>
          <w:rFonts w:eastAsia="Times New Roman"/>
          <w:b/>
          <w:bCs/>
          <w:color w:val="000000"/>
          <w:sz w:val="22"/>
          <w:szCs w:val="22"/>
          <w:lang w:eastAsia="fr-FR"/>
        </w:rPr>
        <w:t xml:space="preserve">has </w:t>
      </w:r>
      <w:r w:rsidR="00141123" w:rsidRPr="00D53AFE">
        <w:rPr>
          <w:rFonts w:eastAsia="Times New Roman"/>
          <w:b/>
          <w:bCs/>
          <w:color w:val="000000"/>
          <w:sz w:val="22"/>
          <w:szCs w:val="22"/>
          <w:lang w:eastAsia="fr-FR"/>
        </w:rPr>
        <w:t>operate</w:t>
      </w:r>
      <w:r w:rsidR="00277CCE" w:rsidRPr="00D53AFE">
        <w:rPr>
          <w:rFonts w:eastAsia="Times New Roman"/>
          <w:b/>
          <w:bCs/>
          <w:color w:val="000000"/>
          <w:sz w:val="22"/>
          <w:szCs w:val="22"/>
          <w:lang w:eastAsia="fr-FR"/>
        </w:rPr>
        <w:t>d</w:t>
      </w:r>
      <w:r w:rsidRPr="00D53AFE">
        <w:rPr>
          <w:rFonts w:eastAsia="Times New Roman"/>
          <w:b/>
          <w:bCs/>
          <w:color w:val="000000"/>
          <w:sz w:val="22"/>
          <w:szCs w:val="22"/>
          <w:lang w:eastAsia="fr-FR"/>
        </w:rPr>
        <w:t xml:space="preserve"> residence schemes since 2013</w:t>
      </w:r>
      <w:r w:rsidRPr="00D53AFE">
        <w:rPr>
          <w:rFonts w:eastAsia="Times New Roman"/>
          <w:bCs/>
          <w:color w:val="000000"/>
          <w:sz w:val="22"/>
          <w:szCs w:val="22"/>
          <w:lang w:eastAsia="fr-FR"/>
        </w:rPr>
        <w:t>, when it adopted</w:t>
      </w:r>
      <w:r w:rsidRPr="00D53AFE">
        <w:rPr>
          <w:rFonts w:eastAsia="Times New Roman"/>
          <w:b/>
          <w:bCs/>
          <w:color w:val="000000"/>
          <w:sz w:val="22"/>
          <w:szCs w:val="22"/>
          <w:lang w:eastAsia="fr-FR"/>
        </w:rPr>
        <w:t xml:space="preserve"> Law 14/2013</w:t>
      </w:r>
      <w:r w:rsidRPr="00D53AFE">
        <w:rPr>
          <w:rFonts w:eastAsia="Times New Roman"/>
          <w:bCs/>
          <w:color w:val="000000"/>
          <w:sz w:val="22"/>
          <w:szCs w:val="22"/>
          <w:lang w:eastAsia="fr-FR"/>
        </w:rPr>
        <w:t>, of 27 September, on the support to entrepreneurs and their internationalisation (Law 14/2013).</w:t>
      </w:r>
      <w:r w:rsidRPr="00D53AFE">
        <w:rPr>
          <w:rFonts w:eastAsia="Times New Roman"/>
          <w:bCs/>
          <w:color w:val="000000"/>
          <w:sz w:val="22"/>
          <w:szCs w:val="22"/>
          <w:vertAlign w:val="superscript"/>
          <w:lang w:eastAsia="fr-FR"/>
        </w:rPr>
        <w:footnoteReference w:id="1"/>
      </w:r>
      <w:r w:rsidRPr="00D53AFE">
        <w:rPr>
          <w:rFonts w:eastAsia="Times New Roman"/>
          <w:bCs/>
          <w:color w:val="000000"/>
          <w:sz w:val="22"/>
          <w:szCs w:val="22"/>
          <w:lang w:eastAsia="fr-FR"/>
        </w:rPr>
        <w:t xml:space="preserve"> According to the Preamble, the adoption of Law 14/2013 was instigated by the “profound economic crisis that Spain has been suffering, with acute social consequences”. Law 14/2013 was, thus, adopted to enhance the entrepreneurial culture, initiative and education in Spain by creating a favourable legal, institutional and social framework under which new undertakings can set up and flourish. Such framework is essential to encourage investment and productivity.</w:t>
      </w:r>
    </w:p>
    <w:p w14:paraId="426B02BD" w14:textId="77777777" w:rsidR="00141123" w:rsidRPr="00D53AFE" w:rsidRDefault="00141123" w:rsidP="00CD7EF7">
      <w:pPr>
        <w:widowControl w:val="0"/>
        <w:spacing w:after="0" w:line="240" w:lineRule="auto"/>
        <w:jc w:val="both"/>
        <w:rPr>
          <w:rFonts w:eastAsia="Times New Roman"/>
          <w:bCs/>
          <w:color w:val="000000"/>
          <w:sz w:val="22"/>
          <w:szCs w:val="22"/>
          <w:lang w:eastAsia="fr-FR"/>
        </w:rPr>
      </w:pPr>
    </w:p>
    <w:p w14:paraId="219DA0EE" w14:textId="7D7CC603" w:rsidR="00360212" w:rsidRPr="00D53AFE" w:rsidRDefault="00360212" w:rsidP="00CD7EF7">
      <w:pPr>
        <w:widowControl w:val="0"/>
        <w:spacing w:after="0" w:line="240" w:lineRule="auto"/>
        <w:jc w:val="both"/>
        <w:rPr>
          <w:rFonts w:eastAsia="Times New Roman"/>
          <w:bCs/>
          <w:color w:val="000000"/>
          <w:sz w:val="22"/>
          <w:szCs w:val="22"/>
          <w:lang w:eastAsia="fr-FR"/>
        </w:rPr>
      </w:pPr>
      <w:r w:rsidRPr="00D53AFE">
        <w:rPr>
          <w:rFonts w:eastAsia="Times New Roman"/>
          <w:bCs/>
          <w:color w:val="000000"/>
          <w:sz w:val="22"/>
          <w:szCs w:val="22"/>
          <w:lang w:eastAsia="fr-FR"/>
        </w:rPr>
        <w:t xml:space="preserve">Law 14/2013 includes </w:t>
      </w:r>
      <w:r w:rsidRPr="00D53AFE">
        <w:rPr>
          <w:rFonts w:eastAsia="Times New Roman"/>
          <w:b/>
          <w:bCs/>
          <w:color w:val="000000"/>
          <w:sz w:val="22"/>
          <w:szCs w:val="22"/>
          <w:lang w:eastAsia="fr-FR"/>
        </w:rPr>
        <w:t>rules on the internationalisation of the Spanish economy</w:t>
      </w:r>
      <w:r w:rsidR="00E66E09" w:rsidRPr="00D53AFE">
        <w:rPr>
          <w:rFonts w:eastAsia="Times New Roman"/>
          <w:bCs/>
          <w:color w:val="000000"/>
          <w:sz w:val="22"/>
          <w:szCs w:val="22"/>
          <w:lang w:eastAsia="fr-FR"/>
        </w:rPr>
        <w:t xml:space="preserve"> in</w:t>
      </w:r>
      <w:r w:rsidRPr="00D53AFE">
        <w:rPr>
          <w:rFonts w:eastAsia="Times New Roman"/>
          <w:bCs/>
          <w:color w:val="000000"/>
          <w:sz w:val="22"/>
          <w:szCs w:val="22"/>
          <w:lang w:eastAsia="fr-FR"/>
        </w:rPr>
        <w:t xml:space="preserve"> Title V</w:t>
      </w:r>
      <w:r w:rsidR="00E66E09" w:rsidRPr="00D53AFE">
        <w:rPr>
          <w:rFonts w:eastAsia="Times New Roman"/>
          <w:bCs/>
          <w:color w:val="000000"/>
          <w:sz w:val="22"/>
          <w:szCs w:val="22"/>
          <w:lang w:eastAsia="fr-FR"/>
        </w:rPr>
        <w:t>, which</w:t>
      </w:r>
      <w:r w:rsidRPr="00D53AFE">
        <w:rPr>
          <w:rFonts w:eastAsia="Times New Roman"/>
          <w:bCs/>
          <w:color w:val="000000"/>
          <w:sz w:val="22"/>
          <w:szCs w:val="22"/>
          <w:lang w:eastAsia="fr-FR"/>
        </w:rPr>
        <w:t xml:space="preserve"> specifically dedicates </w:t>
      </w:r>
      <w:r w:rsidR="00BB6D19" w:rsidRPr="00D53AFE">
        <w:rPr>
          <w:rFonts w:eastAsia="Times New Roman"/>
          <w:b/>
          <w:bCs/>
          <w:color w:val="000000"/>
          <w:sz w:val="22"/>
          <w:szCs w:val="22"/>
          <w:lang w:eastAsia="fr-FR"/>
        </w:rPr>
        <w:t>a chapter</w:t>
      </w:r>
      <w:r w:rsidRPr="00D53AFE">
        <w:rPr>
          <w:rFonts w:eastAsia="Times New Roman"/>
          <w:b/>
          <w:bCs/>
          <w:color w:val="000000"/>
          <w:sz w:val="22"/>
          <w:szCs w:val="22"/>
          <w:lang w:eastAsia="fr-FR"/>
        </w:rPr>
        <w:t xml:space="preserve"> to investors (</w:t>
      </w:r>
      <w:r w:rsidRPr="00D53AFE">
        <w:rPr>
          <w:rFonts w:eastAsia="Times New Roman"/>
          <w:b/>
          <w:bCs/>
          <w:i/>
          <w:color w:val="000000"/>
          <w:sz w:val="22"/>
          <w:szCs w:val="22"/>
          <w:lang w:eastAsia="fr-FR"/>
        </w:rPr>
        <w:t>inversores</w:t>
      </w:r>
      <w:r w:rsidRPr="00D53AFE">
        <w:rPr>
          <w:rFonts w:eastAsia="Times New Roman"/>
          <w:b/>
          <w:bCs/>
          <w:color w:val="000000"/>
          <w:sz w:val="22"/>
          <w:szCs w:val="22"/>
          <w:lang w:eastAsia="fr-FR"/>
        </w:rPr>
        <w:t>)</w:t>
      </w:r>
      <w:r w:rsidR="00141123" w:rsidRPr="00D53AFE">
        <w:rPr>
          <w:rFonts w:eastAsia="Times New Roman"/>
          <w:b/>
          <w:bCs/>
          <w:color w:val="000000"/>
          <w:sz w:val="22"/>
          <w:szCs w:val="22"/>
          <w:lang w:eastAsia="fr-FR"/>
        </w:rPr>
        <w:t xml:space="preserve"> </w:t>
      </w:r>
      <w:r w:rsidR="00141123" w:rsidRPr="00D53AFE">
        <w:rPr>
          <w:rFonts w:eastAsia="Times New Roman"/>
          <w:bCs/>
          <w:color w:val="000000"/>
          <w:sz w:val="22"/>
          <w:szCs w:val="22"/>
          <w:lang w:eastAsia="fr-FR"/>
        </w:rPr>
        <w:t>(Articles 63-67)</w:t>
      </w:r>
      <w:r w:rsidRPr="00D53AFE">
        <w:rPr>
          <w:rFonts w:eastAsia="Times New Roman"/>
          <w:bCs/>
          <w:color w:val="000000"/>
          <w:sz w:val="22"/>
          <w:szCs w:val="22"/>
          <w:lang w:eastAsia="fr-FR"/>
        </w:rPr>
        <w:t>, setting the rules for, inter alia, the residence permit they can apply for.</w:t>
      </w:r>
    </w:p>
    <w:p w14:paraId="3733983D" w14:textId="77777777" w:rsidR="00360212" w:rsidRPr="00D53AFE" w:rsidRDefault="00360212" w:rsidP="00CD7EF7">
      <w:pPr>
        <w:widowControl w:val="0"/>
        <w:spacing w:after="0" w:line="240" w:lineRule="auto"/>
        <w:jc w:val="both"/>
        <w:rPr>
          <w:rFonts w:eastAsia="Times New Roman"/>
          <w:b/>
          <w:bCs/>
          <w:i/>
          <w:color w:val="000000"/>
          <w:sz w:val="22"/>
          <w:szCs w:val="22"/>
          <w:lang w:eastAsia="fr-FR"/>
        </w:rPr>
      </w:pPr>
    </w:p>
    <w:p w14:paraId="51642477" w14:textId="5CE5528B" w:rsidR="00360212" w:rsidRPr="00D53AFE" w:rsidRDefault="00360212" w:rsidP="00CD7EF7">
      <w:pPr>
        <w:widowControl w:val="0"/>
        <w:spacing w:after="0" w:line="240" w:lineRule="auto"/>
        <w:jc w:val="both"/>
        <w:rPr>
          <w:rFonts w:eastAsia="Times New Roman"/>
          <w:bCs/>
          <w:color w:val="000000"/>
          <w:sz w:val="22"/>
          <w:szCs w:val="22"/>
          <w:lang w:eastAsia="fr-FR"/>
        </w:rPr>
      </w:pPr>
      <w:r w:rsidRPr="00D53AFE">
        <w:rPr>
          <w:rFonts w:eastAsia="Times New Roman"/>
          <w:b/>
          <w:bCs/>
          <w:color w:val="000000"/>
          <w:sz w:val="22"/>
          <w:szCs w:val="22"/>
          <w:lang w:eastAsia="fr-FR"/>
        </w:rPr>
        <w:t>Before Law 14/2013, there was no specific legislation applicable to investors</w:t>
      </w:r>
      <w:r w:rsidRPr="00D53AFE">
        <w:rPr>
          <w:rFonts w:eastAsia="Times New Roman"/>
          <w:bCs/>
          <w:color w:val="000000"/>
          <w:sz w:val="22"/>
          <w:szCs w:val="22"/>
          <w:lang w:eastAsia="fr-FR"/>
        </w:rPr>
        <w:t xml:space="preserve">. Therefore, foreign investors </w:t>
      </w:r>
      <w:r w:rsidR="004F6721" w:rsidRPr="00D53AFE">
        <w:rPr>
          <w:rFonts w:eastAsia="Times New Roman"/>
          <w:bCs/>
          <w:color w:val="000000"/>
          <w:sz w:val="22"/>
          <w:szCs w:val="22"/>
          <w:lang w:eastAsia="fr-FR"/>
        </w:rPr>
        <w:t>wishing</w:t>
      </w:r>
      <w:r w:rsidRPr="00D53AFE">
        <w:rPr>
          <w:rFonts w:eastAsia="Times New Roman"/>
          <w:bCs/>
          <w:color w:val="000000"/>
          <w:sz w:val="22"/>
          <w:szCs w:val="22"/>
          <w:lang w:eastAsia="fr-FR"/>
        </w:rPr>
        <w:t xml:space="preserve"> to enter and reside in Spain had to resort to the </w:t>
      </w:r>
      <w:r w:rsidR="004F6721" w:rsidRPr="00D53AFE">
        <w:rPr>
          <w:rFonts w:eastAsia="Times New Roman"/>
          <w:bCs/>
          <w:color w:val="000000"/>
          <w:sz w:val="22"/>
          <w:szCs w:val="22"/>
          <w:lang w:eastAsia="fr-FR"/>
        </w:rPr>
        <w:t xml:space="preserve">general </w:t>
      </w:r>
      <w:r w:rsidRPr="00D53AFE">
        <w:rPr>
          <w:rFonts w:eastAsia="Times New Roman"/>
          <w:bCs/>
          <w:color w:val="000000"/>
          <w:sz w:val="22"/>
          <w:szCs w:val="22"/>
          <w:lang w:eastAsia="fr-FR"/>
        </w:rPr>
        <w:t>rules on the rights and freedoms of foreigners in Spain and their social integration (the Spanish law on aliens, Organic Law 4/2000, LOEX).</w:t>
      </w:r>
      <w:r w:rsidRPr="00D53AFE">
        <w:rPr>
          <w:rFonts w:eastAsia="Times New Roman"/>
          <w:bCs/>
          <w:color w:val="000000"/>
          <w:sz w:val="22"/>
          <w:szCs w:val="22"/>
          <w:vertAlign w:val="superscript"/>
          <w:lang w:eastAsia="fr-FR"/>
        </w:rPr>
        <w:footnoteReference w:id="2"/>
      </w:r>
      <w:r w:rsidRPr="00D53AFE">
        <w:rPr>
          <w:rFonts w:eastAsia="Times New Roman"/>
          <w:bCs/>
          <w:color w:val="000000"/>
          <w:sz w:val="22"/>
          <w:szCs w:val="22"/>
          <w:lang w:eastAsia="fr-FR"/>
        </w:rPr>
        <w:t xml:space="preserve"> In particular, investors fell under the framework of </w:t>
      </w:r>
      <w:r w:rsidRPr="00D53AFE">
        <w:rPr>
          <w:rFonts w:eastAsia="Times New Roman"/>
          <w:b/>
          <w:bCs/>
          <w:color w:val="000000"/>
          <w:sz w:val="22"/>
          <w:szCs w:val="22"/>
          <w:lang w:eastAsia="fr-FR"/>
        </w:rPr>
        <w:t>residence permits for non-profit activities</w:t>
      </w:r>
      <w:r w:rsidRPr="00D53AFE">
        <w:rPr>
          <w:rFonts w:eastAsia="Times New Roman"/>
          <w:bCs/>
          <w:color w:val="000000"/>
          <w:sz w:val="22"/>
          <w:szCs w:val="22"/>
          <w:lang w:eastAsia="fr-FR"/>
        </w:rPr>
        <w:t xml:space="preserve"> which, inter alia, required continued physical presence in Spain.</w:t>
      </w:r>
    </w:p>
    <w:p w14:paraId="09D7CDF0" w14:textId="77777777" w:rsidR="00360212" w:rsidRPr="00D53AFE" w:rsidRDefault="00360212" w:rsidP="00CD7EF7">
      <w:pPr>
        <w:widowControl w:val="0"/>
        <w:spacing w:after="0" w:line="240" w:lineRule="auto"/>
        <w:jc w:val="both"/>
        <w:rPr>
          <w:rFonts w:eastAsia="Times New Roman"/>
          <w:bCs/>
          <w:color w:val="000000"/>
          <w:sz w:val="22"/>
          <w:szCs w:val="22"/>
          <w:lang w:eastAsia="fr-FR"/>
        </w:rPr>
      </w:pPr>
    </w:p>
    <w:p w14:paraId="294BA792" w14:textId="0F985418" w:rsidR="00360212" w:rsidRPr="00D53AFE" w:rsidRDefault="00360212" w:rsidP="00CD7EF7">
      <w:pPr>
        <w:widowControl w:val="0"/>
        <w:spacing w:after="0" w:line="240" w:lineRule="auto"/>
        <w:jc w:val="both"/>
        <w:rPr>
          <w:rFonts w:eastAsia="Times New Roman"/>
          <w:bCs/>
          <w:color w:val="000000"/>
          <w:sz w:val="22"/>
          <w:szCs w:val="22"/>
          <w:lang w:eastAsia="fr-FR"/>
        </w:rPr>
      </w:pPr>
      <w:r w:rsidRPr="00D53AFE">
        <w:rPr>
          <w:rFonts w:eastAsia="Times New Roman"/>
          <w:bCs/>
          <w:color w:val="000000"/>
          <w:sz w:val="22"/>
          <w:szCs w:val="22"/>
          <w:lang w:eastAsia="fr-FR"/>
        </w:rPr>
        <w:t xml:space="preserve">With Law 14/2013, foreign investors can now apply </w:t>
      </w:r>
      <w:r w:rsidR="004F6721" w:rsidRPr="00D53AFE">
        <w:rPr>
          <w:rFonts w:eastAsia="Times New Roman"/>
          <w:bCs/>
          <w:color w:val="000000"/>
          <w:sz w:val="22"/>
          <w:szCs w:val="22"/>
          <w:lang w:eastAsia="fr-FR"/>
        </w:rPr>
        <w:t xml:space="preserve">for </w:t>
      </w:r>
      <w:r w:rsidRPr="00D53AFE">
        <w:rPr>
          <w:rFonts w:eastAsia="Times New Roman"/>
          <w:bCs/>
          <w:color w:val="000000"/>
          <w:sz w:val="22"/>
          <w:szCs w:val="22"/>
          <w:lang w:eastAsia="fr-FR"/>
        </w:rPr>
        <w:t>two specific types of residence permits</w:t>
      </w:r>
      <w:r w:rsidR="00141123" w:rsidRPr="00D53AFE">
        <w:rPr>
          <w:rFonts w:eastAsia="Times New Roman"/>
          <w:bCs/>
          <w:color w:val="000000"/>
          <w:sz w:val="22"/>
          <w:szCs w:val="22"/>
          <w:lang w:eastAsia="fr-FR"/>
        </w:rPr>
        <w:t>:</w:t>
      </w:r>
      <w:r w:rsidR="00565241" w:rsidRPr="00D53AFE">
        <w:rPr>
          <w:rStyle w:val="FootnoteReference"/>
          <w:rFonts w:eastAsia="Times New Roman"/>
          <w:bCs/>
          <w:color w:val="000000"/>
          <w:sz w:val="22"/>
          <w:szCs w:val="22"/>
          <w:lang w:eastAsia="fr-FR"/>
        </w:rPr>
        <w:footnoteReference w:id="3"/>
      </w:r>
      <w:r w:rsidR="004F6721" w:rsidRPr="00D53AFE">
        <w:rPr>
          <w:rFonts w:eastAsia="Times New Roman"/>
          <w:bCs/>
          <w:color w:val="000000"/>
          <w:sz w:val="22"/>
          <w:szCs w:val="22"/>
          <w:lang w:eastAsia="fr-FR"/>
        </w:rPr>
        <w:t xml:space="preserve"> a</w:t>
      </w:r>
      <w:r w:rsidRPr="00D53AFE">
        <w:rPr>
          <w:rFonts w:eastAsia="Times New Roman"/>
          <w:bCs/>
          <w:color w:val="000000"/>
          <w:sz w:val="22"/>
          <w:szCs w:val="22"/>
          <w:lang w:eastAsia="fr-FR"/>
        </w:rPr>
        <w:t xml:space="preserve">n </w:t>
      </w:r>
      <w:r w:rsidRPr="00D53AFE">
        <w:rPr>
          <w:rFonts w:eastAsia="Times New Roman"/>
          <w:b/>
          <w:bCs/>
          <w:color w:val="000000"/>
          <w:sz w:val="22"/>
          <w:szCs w:val="22"/>
          <w:lang w:eastAsia="fr-FR"/>
        </w:rPr>
        <w:t>investors’ residence visa</w:t>
      </w:r>
      <w:r w:rsidRPr="00D53AFE">
        <w:rPr>
          <w:rFonts w:eastAsia="Times New Roman"/>
          <w:bCs/>
          <w:color w:val="000000"/>
          <w:sz w:val="22"/>
          <w:szCs w:val="22"/>
          <w:lang w:eastAsia="fr-FR"/>
        </w:rPr>
        <w:t xml:space="preserve"> and</w:t>
      </w:r>
      <w:r w:rsidR="004F6721" w:rsidRPr="00D53AFE">
        <w:rPr>
          <w:rFonts w:eastAsia="Times New Roman"/>
          <w:bCs/>
          <w:color w:val="000000"/>
          <w:sz w:val="22"/>
          <w:szCs w:val="22"/>
          <w:lang w:eastAsia="fr-FR"/>
        </w:rPr>
        <w:t xml:space="preserve"> a</w:t>
      </w:r>
      <w:r w:rsidRPr="00D53AFE">
        <w:rPr>
          <w:rFonts w:eastAsia="Times New Roman"/>
          <w:bCs/>
          <w:color w:val="000000"/>
          <w:sz w:val="22"/>
          <w:szCs w:val="22"/>
          <w:lang w:eastAsia="fr-FR"/>
        </w:rPr>
        <w:t xml:space="preserve"> </w:t>
      </w:r>
      <w:r w:rsidRPr="00D53AFE">
        <w:rPr>
          <w:rFonts w:eastAsia="Times New Roman"/>
          <w:b/>
          <w:bCs/>
          <w:color w:val="000000"/>
          <w:sz w:val="22"/>
          <w:szCs w:val="22"/>
          <w:lang w:eastAsia="fr-FR"/>
        </w:rPr>
        <w:t>residence authorisation for investors</w:t>
      </w:r>
      <w:r w:rsidR="00514B46" w:rsidRPr="00D53AFE">
        <w:rPr>
          <w:rFonts w:eastAsia="Times New Roman"/>
          <w:bCs/>
          <w:color w:val="000000"/>
          <w:sz w:val="22"/>
          <w:szCs w:val="22"/>
          <w:lang w:eastAsia="fr-FR"/>
        </w:rPr>
        <w:t>.</w:t>
      </w:r>
      <w:r w:rsidRPr="00D53AFE">
        <w:rPr>
          <w:rFonts w:eastAsia="Times New Roman"/>
          <w:bCs/>
          <w:color w:val="000000"/>
          <w:sz w:val="22"/>
          <w:szCs w:val="22"/>
          <w:vertAlign w:val="superscript"/>
          <w:lang w:eastAsia="fr-FR"/>
        </w:rPr>
        <w:footnoteReference w:id="4"/>
      </w:r>
      <w:r w:rsidR="004F6721" w:rsidRPr="00D53AFE">
        <w:rPr>
          <w:sz w:val="22"/>
          <w:szCs w:val="22"/>
        </w:rPr>
        <w:t xml:space="preserve"> </w:t>
      </w:r>
      <w:r w:rsidRPr="00D53AFE">
        <w:rPr>
          <w:sz w:val="22"/>
          <w:szCs w:val="22"/>
        </w:rPr>
        <w:t xml:space="preserve">While the visa is necessary for the entry of the foreign investor in the Spanish territory, the residence authorisation is </w:t>
      </w:r>
      <w:r w:rsidR="008C1AA3" w:rsidRPr="00D53AFE">
        <w:rPr>
          <w:sz w:val="22"/>
          <w:szCs w:val="22"/>
        </w:rPr>
        <w:t xml:space="preserve">applicable </w:t>
      </w:r>
      <w:r w:rsidRPr="00D53AFE">
        <w:rPr>
          <w:sz w:val="22"/>
          <w:szCs w:val="22"/>
        </w:rPr>
        <w:t>once the foreign investor has already entered the Spanish territory and is legally residing therein.</w:t>
      </w:r>
    </w:p>
    <w:p w14:paraId="5D497141" w14:textId="658AC3EC" w:rsidR="00360212" w:rsidRPr="00D53AFE" w:rsidRDefault="00360212" w:rsidP="00CD7EF7">
      <w:pPr>
        <w:spacing w:after="0" w:line="240" w:lineRule="auto"/>
        <w:jc w:val="both"/>
        <w:rPr>
          <w:sz w:val="22"/>
          <w:szCs w:val="22"/>
        </w:rPr>
      </w:pPr>
    </w:p>
    <w:p w14:paraId="2E4C29B8" w14:textId="092DDEB6" w:rsidR="00343E00" w:rsidRPr="00D53AFE" w:rsidRDefault="00BB6D19" w:rsidP="00CD7EF7">
      <w:pPr>
        <w:spacing w:after="0" w:line="240" w:lineRule="auto"/>
        <w:jc w:val="both"/>
        <w:rPr>
          <w:bCs/>
          <w:sz w:val="22"/>
          <w:szCs w:val="22"/>
        </w:rPr>
      </w:pPr>
      <w:r w:rsidRPr="00D53AFE">
        <w:rPr>
          <w:bCs/>
          <w:sz w:val="22"/>
          <w:szCs w:val="22"/>
        </w:rPr>
        <w:t>T</w:t>
      </w:r>
      <w:r w:rsidR="008A3535" w:rsidRPr="00D53AFE">
        <w:rPr>
          <w:bCs/>
          <w:sz w:val="22"/>
          <w:szCs w:val="22"/>
        </w:rPr>
        <w:t xml:space="preserve">he </w:t>
      </w:r>
      <w:r w:rsidR="008A3535" w:rsidRPr="00D53AFE">
        <w:rPr>
          <w:b/>
          <w:bCs/>
          <w:sz w:val="22"/>
          <w:szCs w:val="22"/>
        </w:rPr>
        <w:t>Ministry of Employment and Social Security</w:t>
      </w:r>
      <w:r w:rsidR="008A3535" w:rsidRPr="00D53AFE">
        <w:rPr>
          <w:bCs/>
          <w:sz w:val="22"/>
          <w:szCs w:val="22"/>
        </w:rPr>
        <w:t xml:space="preserve"> (</w:t>
      </w:r>
      <w:r w:rsidR="008A3535" w:rsidRPr="00D53AFE">
        <w:rPr>
          <w:bCs/>
          <w:i/>
          <w:sz w:val="22"/>
          <w:szCs w:val="22"/>
        </w:rPr>
        <w:t>Ministerio de Empleo y Seguridad Social</w:t>
      </w:r>
      <w:r w:rsidR="008A3535" w:rsidRPr="00D53AFE">
        <w:rPr>
          <w:bCs/>
          <w:sz w:val="22"/>
          <w:szCs w:val="22"/>
        </w:rPr>
        <w:t>, MESS) is the competent authority from the General Administration of the State for regulating migration issues.</w:t>
      </w:r>
      <w:r w:rsidRPr="00D53AFE">
        <w:rPr>
          <w:bCs/>
          <w:sz w:val="22"/>
          <w:szCs w:val="22"/>
        </w:rPr>
        <w:t xml:space="preserve"> </w:t>
      </w:r>
      <w:r w:rsidR="00360212" w:rsidRPr="00D53AFE">
        <w:rPr>
          <w:bCs/>
          <w:sz w:val="22"/>
          <w:szCs w:val="22"/>
        </w:rPr>
        <w:t xml:space="preserve">The </w:t>
      </w:r>
      <w:r w:rsidR="00360212" w:rsidRPr="00D53AFE">
        <w:rPr>
          <w:b/>
          <w:bCs/>
          <w:sz w:val="22"/>
          <w:szCs w:val="22"/>
        </w:rPr>
        <w:t>competent authorities for issuing visas</w:t>
      </w:r>
      <w:r w:rsidR="00360212" w:rsidRPr="00D53AFE">
        <w:rPr>
          <w:bCs/>
          <w:sz w:val="22"/>
          <w:szCs w:val="22"/>
        </w:rPr>
        <w:t xml:space="preserve"> under which foreign investors may enter Spanish territory are the </w:t>
      </w:r>
      <w:r w:rsidR="00360212" w:rsidRPr="00D53AFE">
        <w:rPr>
          <w:b/>
          <w:bCs/>
          <w:sz w:val="22"/>
          <w:szCs w:val="22"/>
        </w:rPr>
        <w:t>diplomatic missions and consular offices</w:t>
      </w:r>
      <w:r w:rsidR="00360212" w:rsidRPr="00D53AFE">
        <w:rPr>
          <w:bCs/>
          <w:sz w:val="22"/>
          <w:szCs w:val="22"/>
        </w:rPr>
        <w:t xml:space="preserve"> of Spain. </w:t>
      </w:r>
      <w:r w:rsidR="008A3535" w:rsidRPr="00D53AFE">
        <w:rPr>
          <w:bCs/>
          <w:sz w:val="22"/>
          <w:szCs w:val="22"/>
        </w:rPr>
        <w:t>In examining the applications, t</w:t>
      </w:r>
      <w:r w:rsidR="00360212" w:rsidRPr="00D53AFE">
        <w:rPr>
          <w:bCs/>
          <w:sz w:val="22"/>
          <w:szCs w:val="22"/>
        </w:rPr>
        <w:t>hey act in cooperation with their Economic and Commercial Office (</w:t>
      </w:r>
      <w:r w:rsidR="00360212" w:rsidRPr="00D53AFE">
        <w:rPr>
          <w:bCs/>
          <w:i/>
          <w:sz w:val="22"/>
          <w:szCs w:val="22"/>
        </w:rPr>
        <w:t>Oficina Económica y Comercial</w:t>
      </w:r>
      <w:r w:rsidR="00360212" w:rsidRPr="00D53AFE">
        <w:rPr>
          <w:bCs/>
          <w:sz w:val="22"/>
          <w:szCs w:val="22"/>
        </w:rPr>
        <w:t>)</w:t>
      </w:r>
      <w:r w:rsidR="00343E00" w:rsidRPr="00D53AFE">
        <w:rPr>
          <w:bCs/>
          <w:sz w:val="22"/>
          <w:szCs w:val="22"/>
        </w:rPr>
        <w:t>.</w:t>
      </w:r>
      <w:r w:rsidR="00360212" w:rsidRPr="00D53AFE">
        <w:rPr>
          <w:bCs/>
          <w:sz w:val="22"/>
          <w:szCs w:val="22"/>
          <w:vertAlign w:val="superscript"/>
        </w:rPr>
        <w:footnoteReference w:id="5"/>
      </w:r>
    </w:p>
    <w:p w14:paraId="027AEDA1" w14:textId="77777777" w:rsidR="00360212" w:rsidRPr="00D53AFE" w:rsidRDefault="00360212" w:rsidP="00CD7EF7">
      <w:pPr>
        <w:spacing w:after="0" w:line="240" w:lineRule="auto"/>
        <w:jc w:val="both"/>
        <w:rPr>
          <w:bCs/>
          <w:sz w:val="22"/>
          <w:szCs w:val="22"/>
        </w:rPr>
      </w:pPr>
    </w:p>
    <w:p w14:paraId="178B1180" w14:textId="1E8AB93C" w:rsidR="00360212" w:rsidRPr="00D53AFE" w:rsidRDefault="008A3535" w:rsidP="00CD7EF7">
      <w:pPr>
        <w:spacing w:after="0" w:line="240" w:lineRule="auto"/>
        <w:jc w:val="both"/>
        <w:rPr>
          <w:bCs/>
          <w:sz w:val="22"/>
          <w:szCs w:val="22"/>
        </w:rPr>
      </w:pPr>
      <w:r w:rsidRPr="00D53AFE">
        <w:rPr>
          <w:bCs/>
          <w:sz w:val="22"/>
          <w:szCs w:val="22"/>
        </w:rPr>
        <w:t>T</w:t>
      </w:r>
      <w:r w:rsidR="00360212" w:rsidRPr="00D53AFE">
        <w:rPr>
          <w:bCs/>
          <w:sz w:val="22"/>
          <w:szCs w:val="22"/>
        </w:rPr>
        <w:t xml:space="preserve">he </w:t>
      </w:r>
      <w:r w:rsidR="00360212" w:rsidRPr="00D53AFE">
        <w:rPr>
          <w:b/>
          <w:bCs/>
          <w:sz w:val="22"/>
          <w:szCs w:val="22"/>
        </w:rPr>
        <w:t>General Directorate on Migrations</w:t>
      </w:r>
      <w:r w:rsidR="00360212" w:rsidRPr="00D53AFE">
        <w:rPr>
          <w:bCs/>
          <w:sz w:val="22"/>
          <w:szCs w:val="22"/>
        </w:rPr>
        <w:t xml:space="preserve"> (</w:t>
      </w:r>
      <w:r w:rsidR="00360212" w:rsidRPr="00D53AFE">
        <w:rPr>
          <w:bCs/>
          <w:i/>
          <w:sz w:val="22"/>
          <w:szCs w:val="22"/>
        </w:rPr>
        <w:t>Dirección General de Migraciones</w:t>
      </w:r>
      <w:r w:rsidR="00360212" w:rsidRPr="00D53AFE">
        <w:rPr>
          <w:bCs/>
          <w:sz w:val="22"/>
          <w:szCs w:val="22"/>
        </w:rPr>
        <w:t>, DGM)</w:t>
      </w:r>
      <w:r w:rsidR="00A15D57" w:rsidRPr="00D53AFE">
        <w:rPr>
          <w:bCs/>
          <w:sz w:val="22"/>
          <w:szCs w:val="22"/>
        </w:rPr>
        <w:t>,</w:t>
      </w:r>
      <w:r w:rsidRPr="00D53AFE">
        <w:rPr>
          <w:bCs/>
          <w:sz w:val="22"/>
          <w:szCs w:val="22"/>
        </w:rPr>
        <w:t xml:space="preserve"> dependant </w:t>
      </w:r>
      <w:r w:rsidR="00F80581" w:rsidRPr="00D53AFE">
        <w:rPr>
          <w:bCs/>
          <w:sz w:val="22"/>
          <w:szCs w:val="22"/>
        </w:rPr>
        <w:t>o</w:t>
      </w:r>
      <w:r w:rsidR="00763E53" w:rsidRPr="00D53AFE">
        <w:rPr>
          <w:bCs/>
          <w:sz w:val="22"/>
          <w:szCs w:val="22"/>
        </w:rPr>
        <w:t>n</w:t>
      </w:r>
      <w:r w:rsidRPr="00D53AFE">
        <w:rPr>
          <w:bCs/>
          <w:sz w:val="22"/>
          <w:szCs w:val="22"/>
        </w:rPr>
        <w:t xml:space="preserve"> the MESS</w:t>
      </w:r>
      <w:r w:rsidR="00A15D57" w:rsidRPr="00D53AFE">
        <w:rPr>
          <w:bCs/>
          <w:sz w:val="22"/>
          <w:szCs w:val="22"/>
        </w:rPr>
        <w:t>,</w:t>
      </w:r>
      <w:r w:rsidR="00360212" w:rsidRPr="00D53AFE">
        <w:rPr>
          <w:bCs/>
          <w:sz w:val="22"/>
          <w:szCs w:val="22"/>
        </w:rPr>
        <w:t xml:space="preserve"> </w:t>
      </w:r>
      <w:r w:rsidR="00763E53" w:rsidRPr="00D53AFE">
        <w:rPr>
          <w:bCs/>
          <w:sz w:val="22"/>
          <w:szCs w:val="22"/>
        </w:rPr>
        <w:t>grants</w:t>
      </w:r>
      <w:r w:rsidR="00360212" w:rsidRPr="00D53AFE">
        <w:rPr>
          <w:bCs/>
          <w:sz w:val="22"/>
          <w:szCs w:val="22"/>
        </w:rPr>
        <w:t xml:space="preserve"> </w:t>
      </w:r>
      <w:r w:rsidR="00360212" w:rsidRPr="00D53AFE">
        <w:rPr>
          <w:b/>
          <w:bCs/>
          <w:sz w:val="22"/>
          <w:szCs w:val="22"/>
        </w:rPr>
        <w:t>residence authorisations for investors</w:t>
      </w:r>
      <w:r w:rsidR="00360212" w:rsidRPr="00D53AFE">
        <w:rPr>
          <w:bCs/>
          <w:sz w:val="22"/>
          <w:szCs w:val="22"/>
        </w:rPr>
        <w:t xml:space="preserve">. The processing of the applications for such authorisations rests with the </w:t>
      </w:r>
      <w:r w:rsidR="00360212" w:rsidRPr="00D53AFE">
        <w:rPr>
          <w:b/>
          <w:bCs/>
          <w:sz w:val="22"/>
          <w:szCs w:val="22"/>
        </w:rPr>
        <w:t>Unit of Large Undertakings and Strategic Collectives</w:t>
      </w:r>
      <w:r w:rsidR="00360212" w:rsidRPr="00D53AFE">
        <w:rPr>
          <w:bCs/>
          <w:sz w:val="22"/>
          <w:szCs w:val="22"/>
        </w:rPr>
        <w:t xml:space="preserve"> (</w:t>
      </w:r>
      <w:r w:rsidR="00360212" w:rsidRPr="00D53AFE">
        <w:rPr>
          <w:bCs/>
          <w:i/>
          <w:sz w:val="22"/>
          <w:szCs w:val="22"/>
        </w:rPr>
        <w:t>Unidad de Grandes Empresas y Colectivos Estratégicos</w:t>
      </w:r>
      <w:r w:rsidR="00360212" w:rsidRPr="00D53AFE">
        <w:rPr>
          <w:bCs/>
          <w:sz w:val="22"/>
          <w:szCs w:val="22"/>
        </w:rPr>
        <w:t>, UGE-CE)</w:t>
      </w:r>
      <w:r w:rsidR="00343E00" w:rsidRPr="00D53AFE">
        <w:rPr>
          <w:bCs/>
          <w:sz w:val="22"/>
          <w:szCs w:val="22"/>
        </w:rPr>
        <w:t xml:space="preserve">, </w:t>
      </w:r>
      <w:r w:rsidR="00360212" w:rsidRPr="00D53AFE">
        <w:rPr>
          <w:bCs/>
          <w:sz w:val="22"/>
          <w:szCs w:val="22"/>
        </w:rPr>
        <w:t>a</w:t>
      </w:r>
      <w:r w:rsidR="00A15D57" w:rsidRPr="00D53AFE">
        <w:rPr>
          <w:bCs/>
          <w:sz w:val="22"/>
          <w:szCs w:val="22"/>
        </w:rPr>
        <w:t>lso a</w:t>
      </w:r>
      <w:r w:rsidR="00360212" w:rsidRPr="00D53AFE">
        <w:rPr>
          <w:bCs/>
          <w:sz w:val="22"/>
          <w:szCs w:val="22"/>
        </w:rPr>
        <w:t>ttached to the MESS.</w:t>
      </w:r>
      <w:r w:rsidR="00360212" w:rsidRPr="00D53AFE">
        <w:rPr>
          <w:bCs/>
          <w:sz w:val="22"/>
          <w:szCs w:val="22"/>
          <w:vertAlign w:val="superscript"/>
        </w:rPr>
        <w:footnoteReference w:id="6"/>
      </w:r>
      <w:r w:rsidRPr="00D53AFE">
        <w:rPr>
          <w:bCs/>
          <w:sz w:val="22"/>
          <w:szCs w:val="22"/>
        </w:rPr>
        <w:t xml:space="preserve"> </w:t>
      </w:r>
    </w:p>
    <w:p w14:paraId="72539C55" w14:textId="0CA1511C" w:rsidR="008A3535" w:rsidRPr="00D53AFE" w:rsidRDefault="008A3535" w:rsidP="00CD7EF7">
      <w:pPr>
        <w:spacing w:after="0" w:line="240" w:lineRule="auto"/>
        <w:jc w:val="both"/>
        <w:rPr>
          <w:bCs/>
          <w:sz w:val="22"/>
          <w:szCs w:val="22"/>
        </w:rPr>
      </w:pPr>
    </w:p>
    <w:p w14:paraId="636F6177" w14:textId="13FA2CC7" w:rsidR="008A3535" w:rsidRPr="00D53AFE" w:rsidRDefault="008A3535" w:rsidP="00CD7EF7">
      <w:pPr>
        <w:spacing w:after="0" w:line="240" w:lineRule="auto"/>
        <w:jc w:val="both"/>
        <w:rPr>
          <w:bCs/>
          <w:sz w:val="22"/>
          <w:szCs w:val="22"/>
        </w:rPr>
      </w:pPr>
      <w:r w:rsidRPr="00D53AFE">
        <w:rPr>
          <w:bCs/>
          <w:sz w:val="22"/>
          <w:szCs w:val="22"/>
        </w:rPr>
        <w:lastRenderedPageBreak/>
        <w:t>In issuing an investors’ residence visa and an investors’ residence authorisation, the corresponding competent authorities to verify that the investment has been made are consulted. These are</w:t>
      </w:r>
      <w:r w:rsidR="00763E53" w:rsidRPr="00D53AFE">
        <w:rPr>
          <w:bCs/>
          <w:sz w:val="22"/>
          <w:szCs w:val="22"/>
        </w:rPr>
        <w:t xml:space="preserve"> the</w:t>
      </w:r>
      <w:r w:rsidRPr="00D53AFE">
        <w:rPr>
          <w:bCs/>
          <w:sz w:val="22"/>
          <w:szCs w:val="22"/>
        </w:rPr>
        <w:t>:</w:t>
      </w:r>
    </w:p>
    <w:p w14:paraId="42FB0B51" w14:textId="77777777" w:rsidR="008A3535" w:rsidRPr="00D53AFE" w:rsidRDefault="008A3535" w:rsidP="00CD7EF7">
      <w:pPr>
        <w:numPr>
          <w:ilvl w:val="0"/>
          <w:numId w:val="19"/>
        </w:numPr>
        <w:spacing w:after="0" w:line="240" w:lineRule="auto"/>
        <w:jc w:val="both"/>
        <w:rPr>
          <w:bCs/>
          <w:sz w:val="22"/>
          <w:szCs w:val="22"/>
        </w:rPr>
      </w:pPr>
      <w:r w:rsidRPr="00D53AFE">
        <w:rPr>
          <w:bCs/>
          <w:sz w:val="22"/>
          <w:szCs w:val="22"/>
        </w:rPr>
        <w:t xml:space="preserve">Ministry of Economy and Competitiveness (General Directorate), </w:t>
      </w:r>
    </w:p>
    <w:p w14:paraId="33EDEA48" w14:textId="7F949087" w:rsidR="008A3535" w:rsidRPr="00D53AFE" w:rsidRDefault="008A3535" w:rsidP="00CD7EF7">
      <w:pPr>
        <w:numPr>
          <w:ilvl w:val="0"/>
          <w:numId w:val="19"/>
        </w:numPr>
        <w:spacing w:after="0" w:line="240" w:lineRule="auto"/>
        <w:jc w:val="both"/>
        <w:rPr>
          <w:bCs/>
          <w:sz w:val="22"/>
          <w:szCs w:val="22"/>
        </w:rPr>
      </w:pPr>
      <w:r w:rsidRPr="00D53AFE">
        <w:rPr>
          <w:bCs/>
          <w:sz w:val="22"/>
          <w:szCs w:val="22"/>
        </w:rPr>
        <w:t>National Securities Market Commission (</w:t>
      </w:r>
      <w:r w:rsidRPr="00D53AFE">
        <w:rPr>
          <w:bCs/>
          <w:i/>
          <w:sz w:val="22"/>
          <w:szCs w:val="22"/>
        </w:rPr>
        <w:t>Comisión Nacional del Mercado de Valores</w:t>
      </w:r>
      <w:r w:rsidRPr="00D53AFE">
        <w:rPr>
          <w:bCs/>
          <w:sz w:val="22"/>
          <w:szCs w:val="22"/>
        </w:rPr>
        <w:t>, CNMV)</w:t>
      </w:r>
    </w:p>
    <w:p w14:paraId="4941AD6A" w14:textId="01797AC4" w:rsidR="008A3535" w:rsidRPr="00D53AFE" w:rsidRDefault="008A3535" w:rsidP="00CD7EF7">
      <w:pPr>
        <w:numPr>
          <w:ilvl w:val="0"/>
          <w:numId w:val="19"/>
        </w:numPr>
        <w:spacing w:after="0" w:line="240" w:lineRule="auto"/>
        <w:jc w:val="both"/>
        <w:rPr>
          <w:bCs/>
          <w:sz w:val="22"/>
          <w:szCs w:val="22"/>
        </w:rPr>
      </w:pPr>
      <w:r w:rsidRPr="00D53AFE">
        <w:rPr>
          <w:bCs/>
          <w:sz w:val="22"/>
          <w:szCs w:val="22"/>
        </w:rPr>
        <w:t>National Central Bank – Bank of Spain (</w:t>
      </w:r>
      <w:r w:rsidRPr="00D53AFE">
        <w:rPr>
          <w:bCs/>
          <w:i/>
          <w:sz w:val="22"/>
          <w:szCs w:val="22"/>
        </w:rPr>
        <w:t>Banco de España</w:t>
      </w:r>
      <w:r w:rsidRPr="00D53AFE">
        <w:rPr>
          <w:bCs/>
          <w:sz w:val="22"/>
          <w:szCs w:val="22"/>
        </w:rPr>
        <w:t xml:space="preserve">), </w:t>
      </w:r>
    </w:p>
    <w:p w14:paraId="77A68C81" w14:textId="23F4B49E" w:rsidR="008A3535" w:rsidRPr="00D53AFE" w:rsidRDefault="008A3535" w:rsidP="00CD7EF7">
      <w:pPr>
        <w:numPr>
          <w:ilvl w:val="0"/>
          <w:numId w:val="19"/>
        </w:numPr>
        <w:spacing w:after="0" w:line="240" w:lineRule="auto"/>
        <w:jc w:val="both"/>
        <w:rPr>
          <w:bCs/>
          <w:sz w:val="22"/>
          <w:szCs w:val="22"/>
        </w:rPr>
      </w:pPr>
      <w:r w:rsidRPr="00D53AFE">
        <w:rPr>
          <w:bCs/>
          <w:sz w:val="22"/>
          <w:szCs w:val="22"/>
        </w:rPr>
        <w:t>Property Registry (</w:t>
      </w:r>
      <w:r w:rsidRPr="00D53AFE">
        <w:rPr>
          <w:bCs/>
          <w:i/>
          <w:sz w:val="22"/>
          <w:szCs w:val="22"/>
        </w:rPr>
        <w:t>Registro de la Propiedad</w:t>
      </w:r>
      <w:r w:rsidRPr="00D53AFE">
        <w:rPr>
          <w:bCs/>
          <w:sz w:val="22"/>
          <w:szCs w:val="22"/>
        </w:rPr>
        <w:t>),</w:t>
      </w:r>
      <w:r w:rsidR="00343E00" w:rsidRPr="00D53AFE">
        <w:rPr>
          <w:bCs/>
          <w:sz w:val="22"/>
          <w:szCs w:val="22"/>
          <w:vertAlign w:val="superscript"/>
        </w:rPr>
        <w:t xml:space="preserve"> </w:t>
      </w:r>
      <w:r w:rsidRPr="00D53AFE">
        <w:rPr>
          <w:bCs/>
          <w:sz w:val="22"/>
          <w:szCs w:val="22"/>
        </w:rPr>
        <w:t xml:space="preserve">or </w:t>
      </w:r>
    </w:p>
    <w:p w14:paraId="4B691844" w14:textId="77777777" w:rsidR="008A3535" w:rsidRPr="00D53AFE" w:rsidRDefault="008A3535" w:rsidP="00CD7EF7">
      <w:pPr>
        <w:numPr>
          <w:ilvl w:val="0"/>
          <w:numId w:val="19"/>
        </w:numPr>
        <w:spacing w:after="0" w:line="240" w:lineRule="auto"/>
        <w:jc w:val="both"/>
        <w:rPr>
          <w:bCs/>
          <w:sz w:val="22"/>
          <w:szCs w:val="22"/>
        </w:rPr>
      </w:pPr>
      <w:r w:rsidRPr="00D53AFE">
        <w:rPr>
          <w:bCs/>
          <w:sz w:val="22"/>
          <w:szCs w:val="22"/>
        </w:rPr>
        <w:t>private entities: a financial intermediary registered with the CNMV when the investment is in traded shares, the financial institution when the investment is in public debt or a bank deposit, and a company managing the investment fund when the investment is in such funds.</w:t>
      </w:r>
    </w:p>
    <w:p w14:paraId="23B145C3" w14:textId="271623AA" w:rsidR="008A3535" w:rsidRPr="00D53AFE" w:rsidRDefault="008A3535" w:rsidP="00CD7EF7">
      <w:pPr>
        <w:spacing w:after="0" w:line="240" w:lineRule="auto"/>
        <w:jc w:val="both"/>
        <w:rPr>
          <w:sz w:val="22"/>
          <w:szCs w:val="22"/>
        </w:rPr>
      </w:pPr>
    </w:p>
    <w:p w14:paraId="0547AC85" w14:textId="649C7E7A" w:rsidR="008A3535" w:rsidRPr="00D53AFE" w:rsidRDefault="008A3535" w:rsidP="00CD7EF7">
      <w:pPr>
        <w:spacing w:after="0" w:line="240" w:lineRule="auto"/>
        <w:jc w:val="both"/>
        <w:rPr>
          <w:bCs/>
          <w:sz w:val="22"/>
          <w:szCs w:val="22"/>
        </w:rPr>
      </w:pPr>
      <w:r w:rsidRPr="00D53AFE">
        <w:rPr>
          <w:sz w:val="22"/>
          <w:szCs w:val="22"/>
        </w:rPr>
        <w:t>Other authorities consulted are</w:t>
      </w:r>
      <w:r w:rsidR="00763E53" w:rsidRPr="00D53AFE">
        <w:rPr>
          <w:sz w:val="22"/>
          <w:szCs w:val="22"/>
        </w:rPr>
        <w:t xml:space="preserve"> those that</w:t>
      </w:r>
      <w:r w:rsidRPr="00D53AFE">
        <w:rPr>
          <w:bCs/>
          <w:sz w:val="22"/>
          <w:szCs w:val="22"/>
        </w:rPr>
        <w:t xml:space="preserve"> certify that tax and </w:t>
      </w:r>
      <w:r w:rsidR="00763E53" w:rsidRPr="00D53AFE">
        <w:rPr>
          <w:bCs/>
          <w:sz w:val="22"/>
          <w:szCs w:val="22"/>
        </w:rPr>
        <w:t>s</w:t>
      </w:r>
      <w:r w:rsidRPr="00D53AFE">
        <w:rPr>
          <w:bCs/>
          <w:sz w:val="22"/>
          <w:szCs w:val="22"/>
        </w:rPr>
        <w:t xml:space="preserve">ocial </w:t>
      </w:r>
      <w:r w:rsidR="00763E53" w:rsidRPr="00D53AFE">
        <w:rPr>
          <w:bCs/>
          <w:sz w:val="22"/>
          <w:szCs w:val="22"/>
        </w:rPr>
        <w:t xml:space="preserve">security </w:t>
      </w:r>
      <w:r w:rsidRPr="00D53AFE">
        <w:rPr>
          <w:bCs/>
          <w:sz w:val="22"/>
          <w:szCs w:val="22"/>
        </w:rPr>
        <w:t>obligations are complied with</w:t>
      </w:r>
      <w:r w:rsidRPr="00D53AFE">
        <w:rPr>
          <w:bCs/>
          <w:sz w:val="22"/>
          <w:szCs w:val="22"/>
          <w:vertAlign w:val="superscript"/>
        </w:rPr>
        <w:footnoteReference w:id="7"/>
      </w:r>
      <w:r w:rsidRPr="00D53AFE">
        <w:rPr>
          <w:bCs/>
          <w:sz w:val="22"/>
          <w:szCs w:val="22"/>
        </w:rPr>
        <w:t xml:space="preserve"> </w:t>
      </w:r>
      <w:r w:rsidR="00A13E27" w:rsidRPr="00D53AFE">
        <w:rPr>
          <w:bCs/>
          <w:sz w:val="22"/>
          <w:szCs w:val="22"/>
        </w:rPr>
        <w:t>and t</w:t>
      </w:r>
      <w:r w:rsidRPr="00D53AFE">
        <w:rPr>
          <w:sz w:val="22"/>
          <w:szCs w:val="22"/>
        </w:rPr>
        <w:t xml:space="preserve">he competent authority to certify that anti-money laundering </w:t>
      </w:r>
      <w:r w:rsidR="00763E53" w:rsidRPr="00D53AFE">
        <w:rPr>
          <w:sz w:val="22"/>
          <w:szCs w:val="22"/>
        </w:rPr>
        <w:t xml:space="preserve">requirements </w:t>
      </w:r>
      <w:r w:rsidRPr="00D53AFE">
        <w:rPr>
          <w:sz w:val="22"/>
          <w:szCs w:val="22"/>
        </w:rPr>
        <w:t xml:space="preserve">are fulfilled </w:t>
      </w:r>
      <w:r w:rsidR="00763E53" w:rsidRPr="00D53AFE">
        <w:rPr>
          <w:sz w:val="22"/>
          <w:szCs w:val="22"/>
        </w:rPr>
        <w:t>(</w:t>
      </w:r>
      <w:r w:rsidRPr="00D53AFE">
        <w:rPr>
          <w:sz w:val="22"/>
          <w:szCs w:val="22"/>
        </w:rPr>
        <w:t>the</w:t>
      </w:r>
      <w:r w:rsidRPr="00D53AFE">
        <w:rPr>
          <w:bCs/>
          <w:sz w:val="22"/>
          <w:szCs w:val="22"/>
        </w:rPr>
        <w:t xml:space="preserve"> </w:t>
      </w:r>
      <w:r w:rsidRPr="00D53AFE">
        <w:rPr>
          <w:sz w:val="22"/>
          <w:szCs w:val="22"/>
        </w:rPr>
        <w:t>Commission on the Prevention of Money Laundering and Monetary Infringements (</w:t>
      </w:r>
      <w:r w:rsidRPr="00D53AFE">
        <w:rPr>
          <w:i/>
          <w:sz w:val="22"/>
          <w:szCs w:val="22"/>
        </w:rPr>
        <w:t>Comisión de Prevención del Blanqueo de Capitales e Infracciones</w:t>
      </w:r>
      <w:r w:rsidRPr="00D53AFE">
        <w:rPr>
          <w:sz w:val="22"/>
          <w:szCs w:val="22"/>
        </w:rPr>
        <w:t>)</w:t>
      </w:r>
      <w:r w:rsidR="00763E53" w:rsidRPr="00D53AFE">
        <w:rPr>
          <w:sz w:val="22"/>
          <w:szCs w:val="22"/>
        </w:rPr>
        <w:t xml:space="preserve">) and the </w:t>
      </w:r>
      <w:r w:rsidRPr="00D53AFE">
        <w:rPr>
          <w:sz w:val="22"/>
          <w:szCs w:val="22"/>
        </w:rPr>
        <w:t>General Directorate of the Police (</w:t>
      </w:r>
      <w:r w:rsidRPr="00D53AFE">
        <w:rPr>
          <w:i/>
          <w:sz w:val="22"/>
          <w:szCs w:val="22"/>
        </w:rPr>
        <w:t>Dirección General de la Policía</w:t>
      </w:r>
      <w:r w:rsidRPr="00D53AFE">
        <w:rPr>
          <w:sz w:val="22"/>
          <w:szCs w:val="22"/>
        </w:rPr>
        <w:t xml:space="preserve">) </w:t>
      </w:r>
      <w:r w:rsidR="00763E53" w:rsidRPr="00D53AFE">
        <w:rPr>
          <w:sz w:val="22"/>
          <w:szCs w:val="22"/>
        </w:rPr>
        <w:t>as regards</w:t>
      </w:r>
      <w:r w:rsidRPr="00D53AFE">
        <w:rPr>
          <w:sz w:val="22"/>
          <w:szCs w:val="22"/>
        </w:rPr>
        <w:t xml:space="preserve"> security checks.</w:t>
      </w:r>
    </w:p>
    <w:p w14:paraId="4D8B86AF" w14:textId="77777777" w:rsidR="00D8511D" w:rsidRPr="00D53AFE" w:rsidRDefault="00D8511D" w:rsidP="00CD7EF7">
      <w:pPr>
        <w:pStyle w:val="MMultilevel"/>
        <w:numPr>
          <w:ilvl w:val="0"/>
          <w:numId w:val="0"/>
        </w:numPr>
        <w:ind w:left="425" w:hanging="425"/>
        <w:rPr>
          <w:b/>
          <w:i/>
          <w:lang w:val="en-GB"/>
        </w:rPr>
      </w:pPr>
    </w:p>
    <w:p w14:paraId="2789B003" w14:textId="62AD024F" w:rsidR="00D137C2" w:rsidRPr="00D53AFE" w:rsidRDefault="00360212" w:rsidP="00C04A3A">
      <w:pPr>
        <w:spacing w:after="0" w:line="240" w:lineRule="auto"/>
        <w:rPr>
          <w:i/>
          <w:sz w:val="22"/>
          <w:szCs w:val="22"/>
        </w:rPr>
      </w:pPr>
      <w:r w:rsidRPr="00D53AFE">
        <w:rPr>
          <w:b/>
          <w:i/>
          <w:sz w:val="22"/>
          <w:szCs w:val="22"/>
        </w:rPr>
        <w:t>Condition</w:t>
      </w:r>
      <w:r w:rsidR="00091D17" w:rsidRPr="00D53AFE">
        <w:rPr>
          <w:b/>
          <w:i/>
          <w:sz w:val="22"/>
          <w:szCs w:val="22"/>
        </w:rPr>
        <w:t>s</w:t>
      </w:r>
      <w:r w:rsidRPr="00D53AFE">
        <w:rPr>
          <w:b/>
          <w:i/>
          <w:sz w:val="22"/>
          <w:szCs w:val="22"/>
        </w:rPr>
        <w:t xml:space="preserve"> and procedure</w:t>
      </w:r>
    </w:p>
    <w:p w14:paraId="509275E8" w14:textId="77777777" w:rsidR="00C04A3A" w:rsidRPr="00D53AFE" w:rsidRDefault="00C04A3A" w:rsidP="00CD7EF7">
      <w:pPr>
        <w:widowControl w:val="0"/>
        <w:spacing w:after="0" w:line="240" w:lineRule="auto"/>
        <w:jc w:val="both"/>
        <w:rPr>
          <w:rFonts w:eastAsia="Times New Roman"/>
          <w:b/>
          <w:bCs/>
          <w:sz w:val="22"/>
          <w:szCs w:val="22"/>
          <w:lang w:eastAsia="fr-FR"/>
        </w:rPr>
      </w:pPr>
    </w:p>
    <w:p w14:paraId="40E1F667" w14:textId="223E716F" w:rsidR="008A3535" w:rsidRPr="00D53AFE" w:rsidRDefault="008A3535" w:rsidP="00CD7EF7">
      <w:pPr>
        <w:widowControl w:val="0"/>
        <w:spacing w:after="0" w:line="240" w:lineRule="auto"/>
        <w:jc w:val="both"/>
        <w:rPr>
          <w:rFonts w:eastAsia="Times New Roman"/>
          <w:bCs/>
          <w:sz w:val="22"/>
          <w:szCs w:val="22"/>
          <w:lang w:eastAsia="fr-FR"/>
        </w:rPr>
      </w:pPr>
      <w:r w:rsidRPr="00D53AFE">
        <w:rPr>
          <w:rFonts w:eastAsia="Times New Roman"/>
          <w:b/>
          <w:bCs/>
          <w:sz w:val="22"/>
          <w:szCs w:val="22"/>
          <w:lang w:eastAsia="fr-FR"/>
        </w:rPr>
        <w:t>To apply</w:t>
      </w:r>
      <w:r w:rsidRPr="00D53AFE">
        <w:rPr>
          <w:rFonts w:eastAsia="Times New Roman"/>
          <w:bCs/>
          <w:sz w:val="22"/>
          <w:szCs w:val="22"/>
          <w:lang w:eastAsia="fr-FR"/>
        </w:rPr>
        <w:t xml:space="preserve"> for the investors’ residence visa and an investors’ residence authorisation, applicants must demonstrate that they made a ‘</w:t>
      </w:r>
      <w:r w:rsidRPr="00D53AFE">
        <w:rPr>
          <w:rFonts w:eastAsia="Times New Roman"/>
          <w:b/>
          <w:bCs/>
          <w:sz w:val="22"/>
          <w:szCs w:val="22"/>
          <w:lang w:eastAsia="fr-FR"/>
        </w:rPr>
        <w:t>significant capital investment</w:t>
      </w:r>
      <w:r w:rsidRPr="00D53AFE">
        <w:rPr>
          <w:rFonts w:eastAsia="Times New Roman"/>
          <w:bCs/>
          <w:sz w:val="22"/>
          <w:szCs w:val="22"/>
          <w:lang w:eastAsia="fr-FR"/>
        </w:rPr>
        <w:t>’. Spanish legislation provides what nature and amount of investment qualifies as ‘significant’</w:t>
      </w:r>
      <w:r w:rsidR="00763E53" w:rsidRPr="00D53AFE">
        <w:rPr>
          <w:rFonts w:eastAsia="Times New Roman"/>
          <w:bCs/>
          <w:sz w:val="22"/>
          <w:szCs w:val="22"/>
          <w:lang w:eastAsia="fr-FR"/>
        </w:rPr>
        <w:t>, namely</w:t>
      </w:r>
      <w:r w:rsidRPr="00D53AFE">
        <w:rPr>
          <w:rFonts w:eastAsia="Times New Roman"/>
          <w:bCs/>
          <w:sz w:val="22"/>
          <w:szCs w:val="22"/>
          <w:lang w:eastAsia="fr-FR"/>
        </w:rPr>
        <w:t>:</w:t>
      </w:r>
    </w:p>
    <w:p w14:paraId="7560BEF7" w14:textId="70AF1E64" w:rsidR="008A3535" w:rsidRPr="00D53AFE" w:rsidRDefault="008A3535" w:rsidP="00CD7EF7">
      <w:pPr>
        <w:widowControl w:val="0"/>
        <w:numPr>
          <w:ilvl w:val="0"/>
          <w:numId w:val="21"/>
        </w:numPr>
        <w:spacing w:after="0" w:line="240" w:lineRule="auto"/>
        <w:jc w:val="both"/>
        <w:rPr>
          <w:rFonts w:eastAsia="Times New Roman"/>
          <w:bCs/>
          <w:sz w:val="22"/>
          <w:szCs w:val="22"/>
          <w:lang w:eastAsia="fr-FR"/>
        </w:rPr>
      </w:pPr>
      <w:r w:rsidRPr="00D53AFE">
        <w:rPr>
          <w:rFonts w:eastAsia="Times New Roman"/>
          <w:bCs/>
          <w:sz w:val="22"/>
          <w:szCs w:val="22"/>
          <w:lang w:eastAsia="fr-FR"/>
        </w:rPr>
        <w:t xml:space="preserve">An initial investment of </w:t>
      </w:r>
      <w:r w:rsidRPr="00D53AFE">
        <w:rPr>
          <w:rFonts w:eastAsia="Times New Roman"/>
          <w:b/>
          <w:bCs/>
          <w:sz w:val="22"/>
          <w:szCs w:val="22"/>
          <w:lang w:eastAsia="fr-FR"/>
        </w:rPr>
        <w:t>at least</w:t>
      </w:r>
      <w:r w:rsidRPr="00D53AFE">
        <w:rPr>
          <w:rFonts w:eastAsia="Times New Roman"/>
          <w:bCs/>
          <w:sz w:val="22"/>
          <w:szCs w:val="22"/>
          <w:lang w:eastAsia="fr-FR"/>
        </w:rPr>
        <w:t>:</w:t>
      </w:r>
    </w:p>
    <w:p w14:paraId="1B8AFA46" w14:textId="77777777" w:rsidR="008A3535" w:rsidRPr="00D53AFE" w:rsidRDefault="008A3535" w:rsidP="00CD7EF7">
      <w:pPr>
        <w:widowControl w:val="0"/>
        <w:numPr>
          <w:ilvl w:val="1"/>
          <w:numId w:val="21"/>
        </w:numPr>
        <w:spacing w:after="0" w:line="240" w:lineRule="auto"/>
        <w:jc w:val="both"/>
        <w:rPr>
          <w:rFonts w:eastAsia="Times New Roman"/>
          <w:bCs/>
          <w:sz w:val="22"/>
          <w:szCs w:val="22"/>
          <w:lang w:eastAsia="fr-FR"/>
        </w:rPr>
      </w:pPr>
      <w:r w:rsidRPr="00D53AFE">
        <w:rPr>
          <w:rFonts w:eastAsia="Times New Roman"/>
          <w:b/>
          <w:bCs/>
          <w:sz w:val="22"/>
          <w:szCs w:val="22"/>
          <w:lang w:eastAsia="fr-FR"/>
        </w:rPr>
        <w:t>EUR 2 million</w:t>
      </w:r>
      <w:r w:rsidRPr="00D53AFE">
        <w:rPr>
          <w:rFonts w:eastAsia="Times New Roman"/>
          <w:bCs/>
          <w:sz w:val="22"/>
          <w:szCs w:val="22"/>
          <w:lang w:eastAsia="fr-FR"/>
        </w:rPr>
        <w:t xml:space="preserve"> in </w:t>
      </w:r>
      <w:r w:rsidRPr="00D53AFE">
        <w:rPr>
          <w:rFonts w:eastAsia="Times New Roman"/>
          <w:b/>
          <w:bCs/>
          <w:sz w:val="22"/>
          <w:szCs w:val="22"/>
          <w:lang w:eastAsia="fr-FR"/>
        </w:rPr>
        <w:t>Spanish public debt securities</w:t>
      </w:r>
      <w:r w:rsidRPr="00D53AFE">
        <w:rPr>
          <w:rFonts w:eastAsia="Times New Roman"/>
          <w:bCs/>
          <w:sz w:val="22"/>
          <w:szCs w:val="22"/>
          <w:lang w:eastAsia="fr-FR"/>
        </w:rPr>
        <w:t xml:space="preserve">, or </w:t>
      </w:r>
    </w:p>
    <w:p w14:paraId="3DB022AD" w14:textId="77777777" w:rsidR="008A3535" w:rsidRPr="00D53AFE" w:rsidRDefault="008A3535" w:rsidP="00CD7EF7">
      <w:pPr>
        <w:widowControl w:val="0"/>
        <w:numPr>
          <w:ilvl w:val="1"/>
          <w:numId w:val="21"/>
        </w:numPr>
        <w:spacing w:after="0" w:line="240" w:lineRule="auto"/>
        <w:jc w:val="both"/>
        <w:rPr>
          <w:rFonts w:eastAsia="Times New Roman"/>
          <w:bCs/>
          <w:sz w:val="22"/>
          <w:szCs w:val="22"/>
          <w:lang w:eastAsia="fr-FR"/>
        </w:rPr>
      </w:pPr>
      <w:r w:rsidRPr="00D53AFE">
        <w:rPr>
          <w:rFonts w:eastAsia="Times New Roman"/>
          <w:b/>
          <w:bCs/>
          <w:sz w:val="22"/>
          <w:szCs w:val="22"/>
          <w:lang w:eastAsia="fr-FR"/>
        </w:rPr>
        <w:t>EUR 1 million</w:t>
      </w:r>
      <w:r w:rsidRPr="00D53AFE">
        <w:rPr>
          <w:rFonts w:eastAsia="Times New Roman"/>
          <w:bCs/>
          <w:sz w:val="22"/>
          <w:szCs w:val="22"/>
          <w:lang w:eastAsia="fr-FR"/>
        </w:rPr>
        <w:t xml:space="preserve"> in </w:t>
      </w:r>
      <w:r w:rsidRPr="00D53AFE">
        <w:rPr>
          <w:rFonts w:eastAsia="Times New Roman"/>
          <w:b/>
          <w:bCs/>
          <w:sz w:val="22"/>
          <w:szCs w:val="22"/>
          <w:lang w:eastAsia="fr-FR"/>
        </w:rPr>
        <w:t>shares of Spanish companies</w:t>
      </w:r>
      <w:r w:rsidRPr="00D53AFE">
        <w:rPr>
          <w:rFonts w:eastAsia="Times New Roman"/>
          <w:bCs/>
          <w:sz w:val="22"/>
          <w:szCs w:val="22"/>
          <w:lang w:eastAsia="fr-FR"/>
        </w:rPr>
        <w:t xml:space="preserve">, or </w:t>
      </w:r>
    </w:p>
    <w:p w14:paraId="292F191F" w14:textId="4C2E39D4" w:rsidR="008A3535" w:rsidRPr="00D53AFE" w:rsidRDefault="008A3535" w:rsidP="00CD7EF7">
      <w:pPr>
        <w:widowControl w:val="0"/>
        <w:numPr>
          <w:ilvl w:val="1"/>
          <w:numId w:val="21"/>
        </w:numPr>
        <w:spacing w:after="0" w:line="240" w:lineRule="auto"/>
        <w:jc w:val="both"/>
        <w:rPr>
          <w:rFonts w:eastAsia="Times New Roman"/>
          <w:bCs/>
          <w:sz w:val="22"/>
          <w:szCs w:val="22"/>
          <w:lang w:eastAsia="fr-FR"/>
        </w:rPr>
      </w:pPr>
      <w:r w:rsidRPr="00D53AFE">
        <w:rPr>
          <w:rFonts w:eastAsia="Times New Roman"/>
          <w:b/>
          <w:bCs/>
          <w:sz w:val="22"/>
          <w:szCs w:val="22"/>
          <w:lang w:eastAsia="fr-FR"/>
        </w:rPr>
        <w:t>EUR 1 million</w:t>
      </w:r>
      <w:r w:rsidRPr="00D53AFE">
        <w:rPr>
          <w:rFonts w:eastAsia="Times New Roman"/>
          <w:bCs/>
          <w:sz w:val="22"/>
          <w:szCs w:val="22"/>
          <w:lang w:eastAsia="fr-FR"/>
        </w:rPr>
        <w:t xml:space="preserve"> in </w:t>
      </w:r>
      <w:r w:rsidRPr="00D53AFE">
        <w:rPr>
          <w:rFonts w:eastAsia="Times New Roman"/>
          <w:b/>
          <w:bCs/>
          <w:sz w:val="22"/>
          <w:szCs w:val="22"/>
          <w:lang w:eastAsia="fr-FR"/>
        </w:rPr>
        <w:t>investment funds</w:t>
      </w:r>
      <w:r w:rsidRPr="00D53AFE">
        <w:rPr>
          <w:rFonts w:eastAsia="Times New Roman"/>
          <w:bCs/>
          <w:sz w:val="22"/>
          <w:szCs w:val="22"/>
          <w:lang w:eastAsia="fr-FR"/>
        </w:rPr>
        <w:t xml:space="preserve">, closed-end investment funds or venture capital funds </w:t>
      </w:r>
      <w:r w:rsidRPr="00D53AFE">
        <w:rPr>
          <w:rFonts w:eastAsia="Times New Roman"/>
          <w:b/>
          <w:bCs/>
          <w:sz w:val="22"/>
          <w:szCs w:val="22"/>
          <w:lang w:eastAsia="fr-FR"/>
        </w:rPr>
        <w:t>set up in Spain</w:t>
      </w:r>
      <w:r w:rsidR="001D793D" w:rsidRPr="00D53AFE">
        <w:rPr>
          <w:rFonts w:eastAsia="Times New Roman"/>
          <w:bCs/>
          <w:sz w:val="22"/>
          <w:szCs w:val="22"/>
          <w:lang w:eastAsia="fr-FR"/>
        </w:rPr>
        <w:t xml:space="preserve">, </w:t>
      </w:r>
      <w:r w:rsidRPr="00D53AFE">
        <w:rPr>
          <w:rFonts w:eastAsia="Times New Roman"/>
          <w:bCs/>
          <w:sz w:val="22"/>
          <w:szCs w:val="22"/>
          <w:lang w:eastAsia="fr-FR"/>
        </w:rPr>
        <w:t>or</w:t>
      </w:r>
    </w:p>
    <w:p w14:paraId="0EE37EAD" w14:textId="77777777" w:rsidR="008A3535" w:rsidRPr="00D53AFE" w:rsidRDefault="008A3535" w:rsidP="00CD7EF7">
      <w:pPr>
        <w:widowControl w:val="0"/>
        <w:numPr>
          <w:ilvl w:val="1"/>
          <w:numId w:val="21"/>
        </w:numPr>
        <w:spacing w:after="0" w:line="240" w:lineRule="auto"/>
        <w:jc w:val="both"/>
        <w:rPr>
          <w:rFonts w:eastAsia="Times New Roman"/>
          <w:bCs/>
          <w:sz w:val="22"/>
          <w:szCs w:val="22"/>
          <w:lang w:eastAsia="fr-FR"/>
        </w:rPr>
      </w:pPr>
      <w:r w:rsidRPr="00D53AFE">
        <w:rPr>
          <w:rFonts w:eastAsia="Times New Roman"/>
          <w:b/>
          <w:bCs/>
          <w:sz w:val="22"/>
          <w:szCs w:val="22"/>
          <w:lang w:eastAsia="fr-FR"/>
        </w:rPr>
        <w:t>EUR 1 million</w:t>
      </w:r>
      <w:r w:rsidRPr="00D53AFE">
        <w:rPr>
          <w:rFonts w:eastAsia="Times New Roman"/>
          <w:bCs/>
          <w:sz w:val="22"/>
          <w:szCs w:val="22"/>
          <w:lang w:eastAsia="fr-FR"/>
        </w:rPr>
        <w:t xml:space="preserve"> in </w:t>
      </w:r>
      <w:r w:rsidRPr="00D53AFE">
        <w:rPr>
          <w:rFonts w:eastAsia="Times New Roman"/>
          <w:b/>
          <w:bCs/>
          <w:sz w:val="22"/>
          <w:szCs w:val="22"/>
          <w:lang w:eastAsia="fr-FR"/>
        </w:rPr>
        <w:t>bank deposits</w:t>
      </w:r>
      <w:r w:rsidRPr="00D53AFE">
        <w:rPr>
          <w:rFonts w:eastAsia="Times New Roman"/>
          <w:bCs/>
          <w:sz w:val="22"/>
          <w:szCs w:val="22"/>
          <w:lang w:eastAsia="fr-FR"/>
        </w:rPr>
        <w:t xml:space="preserve"> in </w:t>
      </w:r>
      <w:r w:rsidRPr="00D53AFE">
        <w:rPr>
          <w:rFonts w:eastAsia="Times New Roman"/>
          <w:b/>
          <w:bCs/>
          <w:sz w:val="22"/>
          <w:szCs w:val="22"/>
          <w:lang w:eastAsia="fr-FR"/>
        </w:rPr>
        <w:t>Spanish financial institutions</w:t>
      </w:r>
      <w:r w:rsidRPr="00D53AFE">
        <w:rPr>
          <w:rFonts w:eastAsia="Times New Roman"/>
          <w:bCs/>
          <w:sz w:val="22"/>
          <w:szCs w:val="22"/>
          <w:lang w:eastAsia="fr-FR"/>
        </w:rPr>
        <w:t xml:space="preserve">. </w:t>
      </w:r>
    </w:p>
    <w:p w14:paraId="487F601B" w14:textId="35569C4D" w:rsidR="008A3535" w:rsidRPr="00D53AFE" w:rsidRDefault="008A3535" w:rsidP="00CD7EF7">
      <w:pPr>
        <w:widowControl w:val="0"/>
        <w:numPr>
          <w:ilvl w:val="0"/>
          <w:numId w:val="21"/>
        </w:numPr>
        <w:spacing w:after="0" w:line="240" w:lineRule="auto"/>
        <w:jc w:val="both"/>
        <w:rPr>
          <w:rFonts w:eastAsia="Times New Roman"/>
          <w:bCs/>
          <w:sz w:val="22"/>
          <w:szCs w:val="22"/>
          <w:lang w:eastAsia="fr-FR"/>
        </w:rPr>
      </w:pPr>
      <w:r w:rsidRPr="00D53AFE">
        <w:rPr>
          <w:rFonts w:eastAsia="Times New Roman"/>
          <w:bCs/>
          <w:sz w:val="22"/>
          <w:szCs w:val="22"/>
          <w:lang w:eastAsia="fr-FR"/>
        </w:rPr>
        <w:t xml:space="preserve">The </w:t>
      </w:r>
      <w:r w:rsidRPr="00D53AFE">
        <w:rPr>
          <w:rFonts w:eastAsia="Times New Roman"/>
          <w:b/>
          <w:bCs/>
          <w:sz w:val="22"/>
          <w:szCs w:val="22"/>
          <w:lang w:eastAsia="fr-FR"/>
        </w:rPr>
        <w:t>acquisition of real estate</w:t>
      </w:r>
      <w:r w:rsidRPr="00D53AFE">
        <w:rPr>
          <w:rFonts w:eastAsia="Times New Roman"/>
          <w:bCs/>
          <w:sz w:val="22"/>
          <w:szCs w:val="22"/>
          <w:lang w:eastAsia="fr-FR"/>
        </w:rPr>
        <w:t xml:space="preserve"> in Spain valued at a minimum of </w:t>
      </w:r>
      <w:r w:rsidRPr="00D53AFE">
        <w:rPr>
          <w:rFonts w:eastAsia="Times New Roman"/>
          <w:b/>
          <w:bCs/>
          <w:sz w:val="22"/>
          <w:szCs w:val="22"/>
          <w:lang w:eastAsia="fr-FR"/>
        </w:rPr>
        <w:t>EUR 500,000</w:t>
      </w:r>
      <w:r w:rsidRPr="00D53AFE">
        <w:rPr>
          <w:rFonts w:eastAsia="Times New Roman"/>
          <w:bCs/>
          <w:sz w:val="22"/>
          <w:szCs w:val="22"/>
          <w:lang w:eastAsia="fr-FR"/>
        </w:rPr>
        <w:t xml:space="preserve"> per applicant</w:t>
      </w:r>
      <w:r w:rsidR="00C04A3A" w:rsidRPr="00D53AFE">
        <w:rPr>
          <w:rFonts w:eastAsia="Times New Roman"/>
          <w:bCs/>
          <w:sz w:val="22"/>
          <w:szCs w:val="22"/>
          <w:lang w:eastAsia="fr-FR"/>
        </w:rPr>
        <w:t>.</w:t>
      </w:r>
      <w:r w:rsidR="00C46BD7" w:rsidRPr="00D53AFE">
        <w:rPr>
          <w:rFonts w:eastAsia="Times New Roman"/>
          <w:bCs/>
          <w:sz w:val="22"/>
          <w:szCs w:val="22"/>
          <w:lang w:eastAsia="fr-FR"/>
        </w:rPr>
        <w:t xml:space="preserve"> </w:t>
      </w:r>
    </w:p>
    <w:p w14:paraId="5996BA8F" w14:textId="2DBA8827" w:rsidR="008A3535" w:rsidRPr="00D53AFE" w:rsidRDefault="008A3535" w:rsidP="00CD7EF7">
      <w:pPr>
        <w:widowControl w:val="0"/>
        <w:numPr>
          <w:ilvl w:val="0"/>
          <w:numId w:val="21"/>
        </w:numPr>
        <w:spacing w:after="0" w:line="240" w:lineRule="auto"/>
        <w:jc w:val="both"/>
        <w:rPr>
          <w:rFonts w:eastAsia="Times New Roman"/>
          <w:bCs/>
          <w:sz w:val="22"/>
          <w:szCs w:val="22"/>
          <w:lang w:eastAsia="fr-FR"/>
        </w:rPr>
      </w:pPr>
      <w:r w:rsidRPr="00D53AFE">
        <w:rPr>
          <w:rFonts w:eastAsia="Times New Roman"/>
          <w:bCs/>
          <w:sz w:val="22"/>
          <w:szCs w:val="22"/>
          <w:lang w:eastAsia="fr-FR"/>
        </w:rPr>
        <w:t xml:space="preserve">A </w:t>
      </w:r>
      <w:r w:rsidRPr="00D53AFE">
        <w:rPr>
          <w:rFonts w:eastAsia="Times New Roman"/>
          <w:b/>
          <w:bCs/>
          <w:sz w:val="22"/>
          <w:szCs w:val="22"/>
          <w:lang w:eastAsia="fr-FR"/>
        </w:rPr>
        <w:t>business project</w:t>
      </w:r>
      <w:r w:rsidRPr="00D53AFE">
        <w:rPr>
          <w:rFonts w:eastAsia="Times New Roman"/>
          <w:bCs/>
          <w:sz w:val="22"/>
          <w:szCs w:val="22"/>
          <w:lang w:eastAsia="fr-FR"/>
        </w:rPr>
        <w:t xml:space="preserve"> to be developed in Spain</w:t>
      </w:r>
      <w:r w:rsidR="00141AE2" w:rsidRPr="00D53AFE">
        <w:rPr>
          <w:rFonts w:eastAsia="Times New Roman"/>
          <w:bCs/>
          <w:sz w:val="22"/>
          <w:szCs w:val="22"/>
          <w:lang w:eastAsia="fr-FR"/>
        </w:rPr>
        <w:t xml:space="preserve">, </w:t>
      </w:r>
      <w:r w:rsidRPr="00D53AFE">
        <w:rPr>
          <w:rFonts w:eastAsia="Times New Roman"/>
          <w:bCs/>
          <w:sz w:val="22"/>
          <w:szCs w:val="22"/>
          <w:lang w:eastAsia="fr-FR"/>
        </w:rPr>
        <w:t xml:space="preserve">considered and certified as being of </w:t>
      </w:r>
      <w:r w:rsidRPr="00D53AFE">
        <w:rPr>
          <w:rFonts w:eastAsia="Times New Roman"/>
          <w:b/>
          <w:bCs/>
          <w:sz w:val="22"/>
          <w:szCs w:val="22"/>
          <w:lang w:eastAsia="fr-FR"/>
        </w:rPr>
        <w:t>general interest</w:t>
      </w:r>
      <w:r w:rsidRPr="00D53AFE">
        <w:rPr>
          <w:rFonts w:eastAsia="Times New Roman"/>
          <w:bCs/>
          <w:sz w:val="22"/>
          <w:szCs w:val="22"/>
          <w:lang w:eastAsia="fr-FR"/>
        </w:rPr>
        <w:t xml:space="preserve">, for which </w:t>
      </w:r>
      <w:r w:rsidRPr="00D53AFE">
        <w:rPr>
          <w:rFonts w:eastAsia="Times New Roman"/>
          <w:b/>
          <w:bCs/>
          <w:sz w:val="22"/>
          <w:szCs w:val="22"/>
          <w:lang w:eastAsia="fr-FR"/>
        </w:rPr>
        <w:t>compliance with at least one</w:t>
      </w:r>
      <w:r w:rsidRPr="00D53AFE">
        <w:rPr>
          <w:rFonts w:eastAsia="Times New Roman"/>
          <w:bCs/>
          <w:sz w:val="22"/>
          <w:szCs w:val="22"/>
          <w:lang w:eastAsia="fr-FR"/>
        </w:rPr>
        <w:t xml:space="preserve"> of the following conditions </w:t>
      </w:r>
      <w:r w:rsidR="00763E53" w:rsidRPr="00D53AFE">
        <w:rPr>
          <w:rFonts w:eastAsia="Times New Roman"/>
          <w:bCs/>
          <w:sz w:val="22"/>
          <w:szCs w:val="22"/>
          <w:lang w:eastAsia="fr-FR"/>
        </w:rPr>
        <w:t>is</w:t>
      </w:r>
      <w:r w:rsidRPr="00D53AFE">
        <w:rPr>
          <w:rFonts w:eastAsia="Times New Roman"/>
          <w:bCs/>
          <w:sz w:val="22"/>
          <w:szCs w:val="22"/>
          <w:lang w:eastAsia="fr-FR"/>
        </w:rPr>
        <w:t xml:space="preserve"> assessed:</w:t>
      </w:r>
      <w:r w:rsidRPr="00D53AFE">
        <w:rPr>
          <w:rFonts w:eastAsia="Times New Roman"/>
          <w:b/>
          <w:bCs/>
          <w:sz w:val="22"/>
          <w:szCs w:val="22"/>
          <w:lang w:eastAsia="fr-FR"/>
        </w:rPr>
        <w:t xml:space="preserve"> job creation</w:t>
      </w:r>
      <w:r w:rsidRPr="00D53AFE">
        <w:rPr>
          <w:rFonts w:eastAsia="Times New Roman"/>
          <w:sz w:val="22"/>
          <w:szCs w:val="22"/>
          <w:lang w:eastAsia="fr-FR"/>
        </w:rPr>
        <w:t>,</w:t>
      </w:r>
      <w:r w:rsidRPr="00D53AFE">
        <w:rPr>
          <w:rFonts w:eastAsia="Times New Roman"/>
          <w:b/>
          <w:bCs/>
          <w:sz w:val="22"/>
          <w:szCs w:val="22"/>
          <w:lang w:eastAsia="fr-FR"/>
        </w:rPr>
        <w:t xml:space="preserve"> relevant socioeconomic impact in the geographical area</w:t>
      </w:r>
      <w:r w:rsidRPr="00D53AFE">
        <w:rPr>
          <w:rFonts w:eastAsia="Times New Roman"/>
          <w:bCs/>
          <w:sz w:val="22"/>
          <w:szCs w:val="22"/>
          <w:lang w:eastAsia="fr-FR"/>
        </w:rPr>
        <w:t xml:space="preserve"> in which the activity will be developed, </w:t>
      </w:r>
      <w:r w:rsidRPr="00D53AFE">
        <w:rPr>
          <w:rFonts w:eastAsia="Times New Roman"/>
          <w:b/>
          <w:bCs/>
          <w:sz w:val="22"/>
          <w:szCs w:val="22"/>
          <w:lang w:eastAsia="fr-FR"/>
        </w:rPr>
        <w:t>relevant contribution to scientific and/or technological innovation</w:t>
      </w:r>
      <w:r w:rsidRPr="00D53AFE">
        <w:rPr>
          <w:rFonts w:eastAsia="Times New Roman"/>
          <w:bCs/>
          <w:sz w:val="22"/>
          <w:szCs w:val="22"/>
          <w:lang w:eastAsia="fr-FR"/>
        </w:rPr>
        <w:t>.</w:t>
      </w:r>
    </w:p>
    <w:p w14:paraId="3480D695" w14:textId="77777777" w:rsidR="00141AE2" w:rsidRPr="00D53AFE" w:rsidRDefault="00141AE2" w:rsidP="00CD7EF7">
      <w:pPr>
        <w:widowControl w:val="0"/>
        <w:spacing w:after="0" w:line="240" w:lineRule="auto"/>
        <w:jc w:val="both"/>
        <w:rPr>
          <w:rFonts w:eastAsia="Times New Roman"/>
          <w:bCs/>
          <w:sz w:val="22"/>
          <w:szCs w:val="22"/>
          <w:lang w:eastAsia="fr-FR"/>
        </w:rPr>
      </w:pPr>
    </w:p>
    <w:p w14:paraId="3B621E99" w14:textId="0CA77BA5" w:rsidR="008A3535" w:rsidRPr="00D53AFE" w:rsidRDefault="008A3535" w:rsidP="00CD7EF7">
      <w:pPr>
        <w:widowControl w:val="0"/>
        <w:spacing w:after="0" w:line="240" w:lineRule="auto"/>
        <w:jc w:val="both"/>
        <w:rPr>
          <w:rFonts w:eastAsia="Times New Roman"/>
          <w:bCs/>
          <w:sz w:val="22"/>
          <w:szCs w:val="22"/>
          <w:lang w:eastAsia="fr-FR"/>
        </w:rPr>
      </w:pPr>
      <w:r w:rsidRPr="00D53AFE">
        <w:rPr>
          <w:rFonts w:eastAsia="Times New Roman"/>
          <w:bCs/>
          <w:sz w:val="22"/>
          <w:szCs w:val="22"/>
          <w:lang w:eastAsia="fr-FR"/>
        </w:rPr>
        <w:t>The significant capital investment can be carried out by:</w:t>
      </w:r>
      <w:r w:rsidR="00BB6D19" w:rsidRPr="00D53AFE">
        <w:rPr>
          <w:rFonts w:eastAsia="Times New Roman"/>
          <w:bCs/>
          <w:sz w:val="22"/>
          <w:szCs w:val="22"/>
          <w:lang w:eastAsia="fr-FR"/>
        </w:rPr>
        <w:t xml:space="preserve"> </w:t>
      </w:r>
      <w:r w:rsidRPr="00D53AFE">
        <w:rPr>
          <w:rFonts w:eastAsia="Times New Roman"/>
          <w:bCs/>
          <w:sz w:val="22"/>
          <w:szCs w:val="22"/>
          <w:lang w:eastAsia="fr-FR"/>
        </w:rPr>
        <w:t>the investor him/herself;</w:t>
      </w:r>
      <w:r w:rsidR="00BB6D19" w:rsidRPr="00D53AFE">
        <w:rPr>
          <w:rFonts w:eastAsia="Times New Roman"/>
          <w:bCs/>
          <w:sz w:val="22"/>
          <w:szCs w:val="22"/>
          <w:lang w:eastAsia="fr-FR"/>
        </w:rPr>
        <w:t xml:space="preserve"> </w:t>
      </w:r>
      <w:r w:rsidRPr="00D53AFE">
        <w:rPr>
          <w:rFonts w:eastAsia="Times New Roman"/>
          <w:bCs/>
          <w:sz w:val="22"/>
          <w:szCs w:val="22"/>
          <w:lang w:eastAsia="fr-FR"/>
        </w:rPr>
        <w:t>the investor with his/her spouse;</w:t>
      </w:r>
      <w:r w:rsidR="00BB6D19" w:rsidRPr="00D53AFE">
        <w:rPr>
          <w:rFonts w:eastAsia="Times New Roman"/>
          <w:bCs/>
          <w:sz w:val="22"/>
          <w:szCs w:val="22"/>
          <w:lang w:eastAsia="fr-FR"/>
        </w:rPr>
        <w:t xml:space="preserve"> or </w:t>
      </w:r>
      <w:r w:rsidRPr="00D53AFE">
        <w:rPr>
          <w:rFonts w:eastAsia="Times New Roman"/>
          <w:bCs/>
          <w:sz w:val="22"/>
          <w:szCs w:val="22"/>
          <w:lang w:eastAsia="fr-FR"/>
        </w:rPr>
        <w:t>a legal person, registered in a territory that is not considered a tax haven</w:t>
      </w:r>
      <w:r w:rsidRPr="00D53AFE">
        <w:rPr>
          <w:rFonts w:eastAsia="Times New Roman"/>
          <w:bCs/>
          <w:sz w:val="22"/>
          <w:szCs w:val="22"/>
          <w:vertAlign w:val="superscript"/>
          <w:lang w:eastAsia="fr-FR"/>
        </w:rPr>
        <w:footnoteReference w:id="8"/>
      </w:r>
      <w:r w:rsidRPr="00D53AFE">
        <w:rPr>
          <w:rFonts w:eastAsia="Times New Roman"/>
          <w:bCs/>
          <w:sz w:val="22"/>
          <w:szCs w:val="22"/>
          <w:lang w:eastAsia="fr-FR"/>
        </w:rPr>
        <w:t xml:space="preserve"> </w:t>
      </w:r>
      <w:r w:rsidR="00277CCE" w:rsidRPr="00D53AFE">
        <w:rPr>
          <w:rFonts w:eastAsia="Times New Roman"/>
          <w:bCs/>
          <w:sz w:val="22"/>
          <w:szCs w:val="22"/>
          <w:lang w:eastAsia="fr-FR"/>
        </w:rPr>
        <w:t>by</w:t>
      </w:r>
      <w:r w:rsidRPr="00D53AFE">
        <w:rPr>
          <w:rFonts w:eastAsia="Times New Roman"/>
          <w:bCs/>
          <w:sz w:val="22"/>
          <w:szCs w:val="22"/>
          <w:lang w:eastAsia="fr-FR"/>
        </w:rPr>
        <w:t xml:space="preserve"> Spanish regulations, in which the foreign investor owns, directly or indirectly, the majority of the voting rights and has the power to appoint or dismiss the majority of the members of its administrative body.</w:t>
      </w:r>
    </w:p>
    <w:p w14:paraId="36FB1634" w14:textId="19F6C4C6" w:rsidR="00330848" w:rsidRPr="00D53AFE" w:rsidRDefault="00330848" w:rsidP="00CD7EF7">
      <w:pPr>
        <w:spacing w:after="0" w:line="240" w:lineRule="auto"/>
        <w:jc w:val="both"/>
        <w:rPr>
          <w:sz w:val="22"/>
          <w:szCs w:val="22"/>
        </w:rPr>
      </w:pPr>
    </w:p>
    <w:p w14:paraId="2AE78F23" w14:textId="739EDA68" w:rsidR="004F7D4A" w:rsidRPr="00D53AFE" w:rsidRDefault="004F7D4A" w:rsidP="00CD7EF7">
      <w:pPr>
        <w:spacing w:after="0" w:line="240" w:lineRule="auto"/>
        <w:jc w:val="both"/>
        <w:rPr>
          <w:bCs/>
          <w:sz w:val="22"/>
          <w:szCs w:val="22"/>
        </w:rPr>
      </w:pPr>
      <w:r w:rsidRPr="00D53AFE">
        <w:rPr>
          <w:sz w:val="22"/>
          <w:szCs w:val="22"/>
        </w:rPr>
        <w:t xml:space="preserve">Regardless of the type of investment, fulfilment of the investment requirement is </w:t>
      </w:r>
      <w:r w:rsidRPr="00D53AFE">
        <w:rPr>
          <w:b/>
          <w:sz w:val="22"/>
          <w:szCs w:val="22"/>
        </w:rPr>
        <w:t>checked</w:t>
      </w:r>
      <w:r w:rsidRPr="00D53AFE">
        <w:rPr>
          <w:sz w:val="22"/>
          <w:szCs w:val="22"/>
        </w:rPr>
        <w:t xml:space="preserve"> at the time of </w:t>
      </w:r>
      <w:r w:rsidRPr="00D53AFE">
        <w:rPr>
          <w:b/>
          <w:bCs/>
          <w:sz w:val="22"/>
          <w:szCs w:val="22"/>
        </w:rPr>
        <w:t xml:space="preserve">filing an application for an investors’ residence visa </w:t>
      </w:r>
      <w:r w:rsidRPr="00D53AFE">
        <w:rPr>
          <w:bCs/>
          <w:sz w:val="22"/>
          <w:szCs w:val="22"/>
        </w:rPr>
        <w:t xml:space="preserve">and, again, at the time of filing an </w:t>
      </w:r>
      <w:r w:rsidRPr="00D53AFE">
        <w:rPr>
          <w:b/>
          <w:bCs/>
          <w:sz w:val="22"/>
          <w:szCs w:val="22"/>
        </w:rPr>
        <w:t>application for an investors’ residence authorisation</w:t>
      </w:r>
      <w:r w:rsidRPr="00D53AFE">
        <w:rPr>
          <w:bCs/>
          <w:sz w:val="22"/>
          <w:szCs w:val="22"/>
        </w:rPr>
        <w:t xml:space="preserve">. The documentation required </w:t>
      </w:r>
      <w:r w:rsidR="00F80581" w:rsidRPr="00D53AFE">
        <w:rPr>
          <w:bCs/>
          <w:sz w:val="22"/>
          <w:szCs w:val="22"/>
        </w:rPr>
        <w:t xml:space="preserve">at each stage differs (see </w:t>
      </w:r>
      <w:r w:rsidR="007C7B2C" w:rsidRPr="00D53AFE">
        <w:rPr>
          <w:bCs/>
          <w:sz w:val="22"/>
          <w:szCs w:val="22"/>
        </w:rPr>
        <w:t>t</w:t>
      </w:r>
      <w:r w:rsidR="00F80581" w:rsidRPr="00D53AFE">
        <w:rPr>
          <w:bCs/>
          <w:sz w:val="22"/>
          <w:szCs w:val="22"/>
        </w:rPr>
        <w:t>able below).</w:t>
      </w:r>
      <w:r w:rsidR="00141AE2" w:rsidRPr="00D53AFE">
        <w:rPr>
          <w:bCs/>
          <w:sz w:val="22"/>
          <w:szCs w:val="22"/>
        </w:rPr>
        <w:t xml:space="preserve"> The evidentiary documentation </w:t>
      </w:r>
      <w:r w:rsidR="00277CCE" w:rsidRPr="00D53AFE">
        <w:rPr>
          <w:bCs/>
          <w:sz w:val="22"/>
          <w:szCs w:val="22"/>
        </w:rPr>
        <w:t>must</w:t>
      </w:r>
      <w:r w:rsidR="00141AE2" w:rsidRPr="00D53AFE">
        <w:rPr>
          <w:bCs/>
          <w:sz w:val="22"/>
          <w:szCs w:val="22"/>
        </w:rPr>
        <w:t xml:space="preserve"> be presented within a period not exceeding one year from submission </w:t>
      </w:r>
      <w:r w:rsidR="00277CCE" w:rsidRPr="00D53AFE">
        <w:rPr>
          <w:bCs/>
          <w:sz w:val="22"/>
          <w:szCs w:val="22"/>
        </w:rPr>
        <w:t xml:space="preserve">of an application for </w:t>
      </w:r>
      <w:r w:rsidR="00141AE2" w:rsidRPr="00D53AFE">
        <w:rPr>
          <w:bCs/>
          <w:sz w:val="22"/>
          <w:szCs w:val="22"/>
        </w:rPr>
        <w:t>an investors’ residence visa (or an authorisation when the</w:t>
      </w:r>
      <w:r w:rsidR="007C7B2C" w:rsidRPr="00D53AFE">
        <w:rPr>
          <w:bCs/>
          <w:sz w:val="22"/>
          <w:szCs w:val="22"/>
        </w:rPr>
        <w:t xml:space="preserve"> applicant </w:t>
      </w:r>
      <w:r w:rsidR="007C7B2C" w:rsidRPr="00D53AFE">
        <w:rPr>
          <w:bCs/>
          <w:sz w:val="22"/>
          <w:szCs w:val="22"/>
        </w:rPr>
        <w:lastRenderedPageBreak/>
        <w:t xml:space="preserve">does not hold a previous investors’ visa but is legally in Spain under another visa e.g. stay visa) </w:t>
      </w:r>
      <w:r w:rsidR="007C7B2C" w:rsidRPr="00D53AFE">
        <w:rPr>
          <w:bCs/>
          <w:sz w:val="22"/>
          <w:szCs w:val="22"/>
          <w:u w:val="single"/>
        </w:rPr>
        <w:t>or</w:t>
      </w:r>
      <w:r w:rsidR="007C7B2C" w:rsidRPr="00D53AFE">
        <w:rPr>
          <w:bCs/>
          <w:sz w:val="22"/>
          <w:szCs w:val="22"/>
        </w:rPr>
        <w:t xml:space="preserve">, when the application is for an investors’ residence authorisation, together with the application but, in any case, the </w:t>
      </w:r>
      <w:r w:rsidR="00277CCE" w:rsidRPr="00D53AFE">
        <w:rPr>
          <w:bCs/>
          <w:sz w:val="22"/>
          <w:szCs w:val="22"/>
        </w:rPr>
        <w:t xml:space="preserve">date on the </w:t>
      </w:r>
      <w:r w:rsidR="007C7B2C" w:rsidRPr="00D53AFE">
        <w:rPr>
          <w:bCs/>
          <w:sz w:val="22"/>
          <w:szCs w:val="22"/>
        </w:rPr>
        <w:t xml:space="preserve">certificates in the Table below (second column) </w:t>
      </w:r>
      <w:r w:rsidR="00277CCE" w:rsidRPr="00D53AFE">
        <w:rPr>
          <w:bCs/>
          <w:sz w:val="22"/>
          <w:szCs w:val="22"/>
        </w:rPr>
        <w:t>must not be earlier than</w:t>
      </w:r>
      <w:r w:rsidR="007C7B2C" w:rsidRPr="00D53AFE">
        <w:rPr>
          <w:bCs/>
          <w:sz w:val="22"/>
          <w:szCs w:val="22"/>
        </w:rPr>
        <w:t xml:space="preserve"> 30 days prior to the submission of the application for an investors’ residence authorisation.</w:t>
      </w:r>
    </w:p>
    <w:p w14:paraId="14395FED" w14:textId="7821B660" w:rsidR="004F7D4A" w:rsidRPr="00D53AFE" w:rsidRDefault="004F7D4A" w:rsidP="00CD7EF7">
      <w:pPr>
        <w:spacing w:after="0" w:line="240" w:lineRule="auto"/>
        <w:jc w:val="both"/>
        <w:rPr>
          <w:bCs/>
          <w:sz w:val="22"/>
          <w:szCs w:val="22"/>
        </w:rPr>
      </w:pPr>
    </w:p>
    <w:tbl>
      <w:tblPr>
        <w:tblStyle w:val="TableGrid"/>
        <w:tblW w:w="906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1472"/>
        <w:gridCol w:w="2866"/>
        <w:gridCol w:w="95"/>
        <w:gridCol w:w="4634"/>
      </w:tblGrid>
      <w:tr w:rsidR="00571FE6" w:rsidRPr="00D53AFE" w14:paraId="2EA49E72" w14:textId="77777777" w:rsidTr="00C04A3A">
        <w:trPr>
          <w:trHeight w:val="993"/>
          <w:tblHeader/>
        </w:trPr>
        <w:tc>
          <w:tcPr>
            <w:tcW w:w="1472" w:type="dxa"/>
            <w:shd w:val="clear" w:color="auto" w:fill="4F81BD"/>
          </w:tcPr>
          <w:p w14:paraId="730065A1" w14:textId="75CF4146" w:rsidR="00571FE6" w:rsidRPr="00D53AFE" w:rsidRDefault="00571FE6" w:rsidP="00CD7EF7">
            <w:pPr>
              <w:rPr>
                <w:rFonts w:ascii="Century Gothic" w:hAnsi="Century Gothic"/>
                <w:b/>
                <w:sz w:val="16"/>
                <w:szCs w:val="16"/>
                <w:lang w:eastAsia="fr-FR"/>
              </w:rPr>
            </w:pPr>
            <w:r w:rsidRPr="00D53AFE">
              <w:rPr>
                <w:rFonts w:ascii="Century Gothic" w:hAnsi="Century Gothic"/>
                <w:b/>
                <w:sz w:val="16"/>
                <w:szCs w:val="16"/>
                <w:lang w:eastAsia="fr-FR"/>
              </w:rPr>
              <w:t>Type of</w:t>
            </w:r>
            <w:r w:rsidR="007C7B2C" w:rsidRPr="00D53AFE">
              <w:rPr>
                <w:rFonts w:ascii="Century Gothic" w:hAnsi="Century Gothic"/>
                <w:b/>
                <w:sz w:val="16"/>
                <w:szCs w:val="16"/>
                <w:lang w:eastAsia="fr-FR"/>
              </w:rPr>
              <w:t xml:space="preserve"> </w:t>
            </w:r>
            <w:r w:rsidRPr="00D53AFE">
              <w:rPr>
                <w:rFonts w:ascii="Century Gothic" w:hAnsi="Century Gothic"/>
                <w:b/>
                <w:sz w:val="16"/>
                <w:szCs w:val="16"/>
                <w:lang w:eastAsia="fr-FR"/>
              </w:rPr>
              <w:t>investment</w:t>
            </w:r>
          </w:p>
        </w:tc>
        <w:tc>
          <w:tcPr>
            <w:tcW w:w="2961" w:type="dxa"/>
            <w:gridSpan w:val="2"/>
            <w:shd w:val="clear" w:color="auto" w:fill="4F81BD"/>
          </w:tcPr>
          <w:p w14:paraId="7147B750" w14:textId="3A50D873"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 xml:space="preserve">Application for investors’ residence VISA and investors’ residence AUTHORISATION when applicant does </w:t>
            </w:r>
            <w:r w:rsidRPr="00D53AFE">
              <w:rPr>
                <w:rFonts w:ascii="Century Gothic" w:hAnsi="Century Gothic"/>
                <w:b/>
                <w:sz w:val="16"/>
                <w:szCs w:val="16"/>
                <w:u w:val="single"/>
                <w:lang w:eastAsia="fr-FR"/>
              </w:rPr>
              <w:t>not</w:t>
            </w:r>
            <w:r w:rsidRPr="00D53AFE">
              <w:rPr>
                <w:rFonts w:ascii="Century Gothic" w:hAnsi="Century Gothic"/>
                <w:b/>
                <w:sz w:val="16"/>
                <w:szCs w:val="16"/>
                <w:lang w:eastAsia="fr-FR"/>
              </w:rPr>
              <w:t xml:space="preserve"> hold previous residence visa but is legally in Spain</w:t>
            </w:r>
          </w:p>
        </w:tc>
        <w:tc>
          <w:tcPr>
            <w:tcW w:w="4634" w:type="dxa"/>
            <w:shd w:val="clear" w:color="auto" w:fill="4F81BD"/>
          </w:tcPr>
          <w:p w14:paraId="67507291" w14:textId="0DA4823A"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 xml:space="preserve">Application for investors’ residence AUTHORISATION </w:t>
            </w:r>
            <w:r w:rsidR="00E07C53" w:rsidRPr="00D53AFE">
              <w:rPr>
                <w:rFonts w:ascii="Century Gothic" w:hAnsi="Century Gothic"/>
                <w:b/>
                <w:sz w:val="16"/>
                <w:szCs w:val="16"/>
                <w:lang w:eastAsia="fr-FR"/>
              </w:rPr>
              <w:t>when</w:t>
            </w:r>
            <w:r w:rsidRPr="00D53AFE">
              <w:rPr>
                <w:rFonts w:ascii="Century Gothic" w:hAnsi="Century Gothic"/>
                <w:b/>
                <w:sz w:val="16"/>
                <w:szCs w:val="16"/>
                <w:lang w:eastAsia="fr-FR"/>
              </w:rPr>
              <w:t xml:space="preserve"> applicant holds a previous residence visa</w:t>
            </w:r>
          </w:p>
          <w:p w14:paraId="14482448" w14:textId="77777777" w:rsidR="00571FE6" w:rsidRPr="00D53AFE" w:rsidRDefault="00571FE6" w:rsidP="00CD7EF7">
            <w:pPr>
              <w:jc w:val="both"/>
              <w:rPr>
                <w:rFonts w:ascii="Century Gothic" w:hAnsi="Century Gothic"/>
                <w:b/>
                <w:sz w:val="16"/>
                <w:szCs w:val="16"/>
                <w:lang w:eastAsia="fr-FR"/>
              </w:rPr>
            </w:pPr>
          </w:p>
        </w:tc>
      </w:tr>
      <w:tr w:rsidR="00571FE6" w:rsidRPr="00D53AFE" w14:paraId="2A6B621B" w14:textId="77777777" w:rsidTr="007C7B2C">
        <w:tc>
          <w:tcPr>
            <w:tcW w:w="1472" w:type="dxa"/>
            <w:shd w:val="clear" w:color="auto" w:fill="B8CCE4"/>
          </w:tcPr>
          <w:p w14:paraId="611750DA" w14:textId="48B8B09F"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Investment in non-tradable shares or in company shares</w:t>
            </w:r>
          </w:p>
        </w:tc>
        <w:tc>
          <w:tcPr>
            <w:tcW w:w="2961" w:type="dxa"/>
            <w:gridSpan w:val="2"/>
            <w:shd w:val="clear" w:color="auto" w:fill="DBE5F1"/>
          </w:tcPr>
          <w:p w14:paraId="5685A55E" w14:textId="74A71E24"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S</w:t>
            </w:r>
            <w:r w:rsidR="00571FE6" w:rsidRPr="00D53AFE">
              <w:rPr>
                <w:rFonts w:ascii="Century Gothic" w:hAnsi="Century Gothic"/>
                <w:sz w:val="16"/>
                <w:szCs w:val="16"/>
                <w:lang w:eastAsia="fr-FR"/>
              </w:rPr>
              <w:t>tatement of the investment made in the Foreign Investment Registry of the Ministry of Economy and Competitiveness (</w:t>
            </w:r>
            <w:r w:rsidR="00571FE6" w:rsidRPr="00D53AFE">
              <w:rPr>
                <w:rFonts w:ascii="Century Gothic" w:hAnsi="Century Gothic"/>
                <w:i/>
                <w:sz w:val="16"/>
                <w:szCs w:val="16"/>
                <w:lang w:eastAsia="fr-FR"/>
              </w:rPr>
              <w:t>Registro de Inversiones Exteriores del Ministerio de Economía y Competitividad</w:t>
            </w:r>
            <w:r w:rsidR="00571FE6" w:rsidRPr="00D53AFE">
              <w:rPr>
                <w:rFonts w:ascii="Century Gothic" w:hAnsi="Century Gothic"/>
                <w:sz w:val="16"/>
                <w:szCs w:val="16"/>
                <w:lang w:eastAsia="fr-FR"/>
              </w:rPr>
              <w:t>)</w:t>
            </w:r>
          </w:p>
        </w:tc>
        <w:tc>
          <w:tcPr>
            <w:tcW w:w="4634" w:type="dxa"/>
            <w:shd w:val="clear" w:color="auto" w:fill="DBE5F1"/>
          </w:tcPr>
          <w:p w14:paraId="6025EFBF" w14:textId="7CECB6CA"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N</w:t>
            </w:r>
            <w:r w:rsidR="00571FE6" w:rsidRPr="00D53AFE">
              <w:rPr>
                <w:rFonts w:ascii="Century Gothic" w:hAnsi="Century Gothic"/>
                <w:sz w:val="16"/>
                <w:szCs w:val="16"/>
                <w:lang w:eastAsia="fr-FR"/>
              </w:rPr>
              <w:t>otary’s certificate proving that the investor has continued to own the non-tradable shares or company shares during the reference period (i.e. period of validity of the investors’ residence visa – at least 1 year).</w:t>
            </w:r>
          </w:p>
        </w:tc>
      </w:tr>
      <w:tr w:rsidR="00571FE6" w:rsidRPr="00D53AFE" w14:paraId="115167AC" w14:textId="77777777" w:rsidTr="007C7B2C">
        <w:tc>
          <w:tcPr>
            <w:tcW w:w="1472" w:type="dxa"/>
            <w:shd w:val="clear" w:color="auto" w:fill="B8CCE4"/>
          </w:tcPr>
          <w:p w14:paraId="749F78FA" w14:textId="09713B5E"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Investment in tradable shares</w:t>
            </w:r>
          </w:p>
        </w:tc>
        <w:tc>
          <w:tcPr>
            <w:tcW w:w="2961" w:type="dxa"/>
            <w:gridSpan w:val="2"/>
            <w:shd w:val="clear" w:color="auto" w:fill="DBE5F1"/>
          </w:tcPr>
          <w:p w14:paraId="24F1007D" w14:textId="50D5D7D0"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C</w:t>
            </w:r>
            <w:r w:rsidR="00571FE6" w:rsidRPr="00D53AFE">
              <w:rPr>
                <w:rFonts w:ascii="Century Gothic" w:hAnsi="Century Gothic"/>
                <w:sz w:val="16"/>
                <w:szCs w:val="16"/>
                <w:lang w:eastAsia="fr-FR"/>
              </w:rPr>
              <w:t>ertificate from the financial intermediary, duly registered with the CNMV or with the Bank of Spain stating that the interested party made the investment for the purpose of the investor’s visa, in case of investment made through listed shares</w:t>
            </w:r>
          </w:p>
        </w:tc>
        <w:tc>
          <w:tcPr>
            <w:tcW w:w="4634" w:type="dxa"/>
            <w:shd w:val="clear" w:color="auto" w:fill="DBE5F1"/>
          </w:tcPr>
          <w:p w14:paraId="4CAC8404" w14:textId="049AAAB4"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C</w:t>
            </w:r>
            <w:r w:rsidR="00571FE6" w:rsidRPr="00D53AFE">
              <w:rPr>
                <w:rFonts w:ascii="Century Gothic" w:hAnsi="Century Gothic"/>
                <w:sz w:val="16"/>
                <w:szCs w:val="16"/>
                <w:lang w:eastAsia="fr-FR"/>
              </w:rPr>
              <w:t>ertificate from the financial intermediary stating that the investor kept the investment at an average value of EUR 1 million invested in shares from the issuance date of the investors’ residence visa</w:t>
            </w:r>
          </w:p>
        </w:tc>
      </w:tr>
      <w:tr w:rsidR="00571FE6" w:rsidRPr="00D53AFE" w14:paraId="5CB02F7D" w14:textId="77777777" w:rsidTr="007C7B2C">
        <w:tc>
          <w:tcPr>
            <w:tcW w:w="1472" w:type="dxa"/>
            <w:shd w:val="clear" w:color="auto" w:fill="B8CCE4"/>
          </w:tcPr>
          <w:p w14:paraId="7B02D945" w14:textId="1B8A58CB"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Investment in public debt</w:t>
            </w:r>
          </w:p>
        </w:tc>
        <w:tc>
          <w:tcPr>
            <w:tcW w:w="2961" w:type="dxa"/>
            <w:gridSpan w:val="2"/>
            <w:shd w:val="clear" w:color="auto" w:fill="DBE5F1"/>
          </w:tcPr>
          <w:p w14:paraId="37561737" w14:textId="41C3F4BF"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C</w:t>
            </w:r>
            <w:r w:rsidR="00571FE6" w:rsidRPr="00D53AFE">
              <w:rPr>
                <w:rFonts w:ascii="Century Gothic" w:hAnsi="Century Gothic"/>
                <w:sz w:val="16"/>
                <w:szCs w:val="16"/>
                <w:lang w:eastAsia="fr-FR"/>
              </w:rPr>
              <w:t xml:space="preserve">ertificate from the financial institution or the Bank of Spain stating that the applicant is the sole owner of the investment for a period of 5 years or more </w:t>
            </w:r>
          </w:p>
        </w:tc>
        <w:tc>
          <w:tcPr>
            <w:tcW w:w="4634" w:type="dxa"/>
            <w:shd w:val="clear" w:color="auto" w:fill="DBE5F1"/>
          </w:tcPr>
          <w:p w14:paraId="3419CBE7" w14:textId="4C0AEE15"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C</w:t>
            </w:r>
            <w:r w:rsidR="00571FE6" w:rsidRPr="00D53AFE">
              <w:rPr>
                <w:rFonts w:ascii="Century Gothic" w:hAnsi="Century Gothic"/>
                <w:sz w:val="16"/>
                <w:szCs w:val="16"/>
                <w:lang w:eastAsia="fr-FR"/>
              </w:rPr>
              <w:t>ertificate from financial institution or Bank of Spain stating: (a) the investment has been kept or increased since the date in which the investors’ residence visa was granted;</w:t>
            </w:r>
            <w:r w:rsidR="00CD7EF7" w:rsidRPr="00D53AFE">
              <w:rPr>
                <w:rFonts w:ascii="Century Gothic" w:hAnsi="Century Gothic"/>
                <w:sz w:val="16"/>
                <w:szCs w:val="16"/>
                <w:lang w:eastAsia="fr-FR"/>
              </w:rPr>
              <w:t xml:space="preserve"> </w:t>
            </w:r>
            <w:r w:rsidR="00571FE6" w:rsidRPr="00D53AFE">
              <w:rPr>
                <w:rFonts w:ascii="Century Gothic" w:hAnsi="Century Gothic"/>
                <w:sz w:val="16"/>
                <w:szCs w:val="16"/>
                <w:lang w:eastAsia="fr-FR"/>
              </w:rPr>
              <w:t>(b) the number of public debt titles acquired by the investor at the time the initial investment was made</w:t>
            </w:r>
          </w:p>
        </w:tc>
      </w:tr>
      <w:tr w:rsidR="00571FE6" w:rsidRPr="00D53AFE" w14:paraId="1887764A" w14:textId="77777777" w:rsidTr="007C7B2C">
        <w:tc>
          <w:tcPr>
            <w:tcW w:w="1472" w:type="dxa"/>
            <w:shd w:val="clear" w:color="auto" w:fill="B8CCE4"/>
          </w:tcPr>
          <w:p w14:paraId="6E1AAEB1" w14:textId="2AC8A0D9"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 xml:space="preserve">Investment in investment funds, close-end investment funds or venture capital funds </w:t>
            </w:r>
          </w:p>
        </w:tc>
        <w:tc>
          <w:tcPr>
            <w:tcW w:w="2961" w:type="dxa"/>
            <w:gridSpan w:val="2"/>
            <w:shd w:val="clear" w:color="auto" w:fill="DBE5F1"/>
          </w:tcPr>
          <w:p w14:paraId="10ACA5CE" w14:textId="33CF73E7"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C</w:t>
            </w:r>
            <w:r w:rsidR="00571FE6" w:rsidRPr="00D53AFE">
              <w:rPr>
                <w:rFonts w:ascii="Century Gothic" w:hAnsi="Century Gothic"/>
                <w:sz w:val="16"/>
                <w:szCs w:val="16"/>
                <w:lang w:eastAsia="fr-FR"/>
              </w:rPr>
              <w:t>ertificate of the fund's management company, set up in Spain, duly registered with the CNMV certifying that the investment has been made</w:t>
            </w:r>
          </w:p>
        </w:tc>
        <w:tc>
          <w:tcPr>
            <w:tcW w:w="4634" w:type="dxa"/>
            <w:shd w:val="clear" w:color="auto" w:fill="DBE5F1"/>
          </w:tcPr>
          <w:p w14:paraId="4A6179B8" w14:textId="4CE0A34E"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Sa</w:t>
            </w:r>
            <w:r w:rsidR="00571FE6" w:rsidRPr="00D53AFE">
              <w:rPr>
                <w:rFonts w:ascii="Century Gothic" w:hAnsi="Century Gothic"/>
                <w:sz w:val="16"/>
                <w:szCs w:val="16"/>
                <w:lang w:eastAsia="fr-FR"/>
              </w:rPr>
              <w:t>me certificate of the fund's management company but now stating that the investor has kept, since the issuance date of the investors’ residence visa, at least in an average value of EUR 1 million invested in an investment fund</w:t>
            </w:r>
          </w:p>
        </w:tc>
      </w:tr>
      <w:tr w:rsidR="00571FE6" w:rsidRPr="00D53AFE" w14:paraId="334FD20B" w14:textId="77777777" w:rsidTr="007C7B2C">
        <w:tc>
          <w:tcPr>
            <w:tcW w:w="1472" w:type="dxa"/>
            <w:shd w:val="clear" w:color="auto" w:fill="B8CCE4"/>
          </w:tcPr>
          <w:p w14:paraId="1FD1C4AF" w14:textId="2702E790"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Investment in a bank deposit</w:t>
            </w:r>
          </w:p>
        </w:tc>
        <w:tc>
          <w:tcPr>
            <w:tcW w:w="2961" w:type="dxa"/>
            <w:gridSpan w:val="2"/>
            <w:shd w:val="clear" w:color="auto" w:fill="DBE5F1"/>
          </w:tcPr>
          <w:p w14:paraId="4D733235" w14:textId="5A5C6834"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C</w:t>
            </w:r>
            <w:r w:rsidR="00571FE6" w:rsidRPr="00D53AFE">
              <w:rPr>
                <w:rFonts w:ascii="Century Gothic" w:hAnsi="Century Gothic"/>
                <w:sz w:val="16"/>
                <w:szCs w:val="16"/>
                <w:lang w:eastAsia="fr-FR"/>
              </w:rPr>
              <w:t xml:space="preserve">ertificate from financial institution stating that the applicant is the sole holder of the bank deposit </w:t>
            </w:r>
          </w:p>
        </w:tc>
        <w:tc>
          <w:tcPr>
            <w:tcW w:w="4634" w:type="dxa"/>
            <w:shd w:val="clear" w:color="auto" w:fill="DBE5F1"/>
          </w:tcPr>
          <w:p w14:paraId="575A03C7" w14:textId="3D3CBB28" w:rsidR="00571FE6" w:rsidRPr="00D53AFE" w:rsidRDefault="007C7B2C" w:rsidP="00CD7EF7">
            <w:pPr>
              <w:jc w:val="both"/>
              <w:rPr>
                <w:rFonts w:ascii="Century Gothic" w:hAnsi="Century Gothic"/>
                <w:sz w:val="16"/>
                <w:szCs w:val="16"/>
                <w:lang w:eastAsia="fr-FR"/>
              </w:rPr>
            </w:pPr>
            <w:r w:rsidRPr="00D53AFE">
              <w:rPr>
                <w:rFonts w:ascii="Century Gothic" w:hAnsi="Century Gothic"/>
                <w:sz w:val="16"/>
                <w:szCs w:val="16"/>
                <w:lang w:eastAsia="fr-FR"/>
              </w:rPr>
              <w:t>S</w:t>
            </w:r>
            <w:r w:rsidR="00571FE6" w:rsidRPr="00D53AFE">
              <w:rPr>
                <w:rFonts w:ascii="Century Gothic" w:hAnsi="Century Gothic"/>
                <w:sz w:val="16"/>
                <w:szCs w:val="16"/>
                <w:lang w:eastAsia="fr-FR"/>
              </w:rPr>
              <w:t>ame certificate from the financial institution now stating that the investment has been kept or increased since the issuance date of the investors’ residence visa</w:t>
            </w:r>
          </w:p>
        </w:tc>
      </w:tr>
      <w:tr w:rsidR="00571FE6" w:rsidRPr="00D53AFE" w14:paraId="1946D425" w14:textId="77777777" w:rsidTr="007C7B2C">
        <w:tc>
          <w:tcPr>
            <w:tcW w:w="1472" w:type="dxa"/>
            <w:shd w:val="clear" w:color="auto" w:fill="B8CCE4"/>
          </w:tcPr>
          <w:p w14:paraId="5CE91672" w14:textId="03D28E90"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Investment in real estate</w:t>
            </w:r>
          </w:p>
        </w:tc>
        <w:tc>
          <w:tcPr>
            <w:tcW w:w="7595" w:type="dxa"/>
            <w:gridSpan w:val="3"/>
            <w:shd w:val="clear" w:color="auto" w:fill="DBE5F1"/>
          </w:tcPr>
          <w:p w14:paraId="28F5998A" w14:textId="1C99DF57" w:rsidR="00571FE6" w:rsidRPr="00D53AFE" w:rsidRDefault="007C7B2C" w:rsidP="00CD7EF7">
            <w:pPr>
              <w:pStyle w:val="ListParagraph"/>
              <w:numPr>
                <w:ilvl w:val="0"/>
                <w:numId w:val="35"/>
              </w:numPr>
              <w:ind w:left="404" w:hanging="284"/>
              <w:jc w:val="both"/>
              <w:rPr>
                <w:rFonts w:ascii="Century Gothic" w:hAnsi="Century Gothic"/>
                <w:sz w:val="16"/>
                <w:szCs w:val="16"/>
                <w:lang w:eastAsia="fr-FR"/>
              </w:rPr>
            </w:pPr>
            <w:r w:rsidRPr="00D53AFE">
              <w:rPr>
                <w:rFonts w:ascii="Century Gothic" w:hAnsi="Century Gothic"/>
                <w:bCs/>
                <w:sz w:val="16"/>
                <w:szCs w:val="16"/>
                <w:lang w:eastAsia="fr-FR"/>
              </w:rPr>
              <w:t>C</w:t>
            </w:r>
            <w:r w:rsidR="00571FE6" w:rsidRPr="00D53AFE">
              <w:rPr>
                <w:rFonts w:ascii="Century Gothic" w:hAnsi="Century Gothic"/>
                <w:bCs/>
                <w:sz w:val="16"/>
                <w:szCs w:val="16"/>
                <w:lang w:eastAsia="fr-FR"/>
              </w:rPr>
              <w:t xml:space="preserve">ertificate on ownership and encumbrances of the Property Registry </w:t>
            </w:r>
            <w:r w:rsidR="00571FE6" w:rsidRPr="00D53AFE">
              <w:rPr>
                <w:rFonts w:ascii="Century Gothic" w:hAnsi="Century Gothic"/>
                <w:b/>
                <w:bCs/>
                <w:sz w:val="16"/>
                <w:szCs w:val="16"/>
                <w:lang w:eastAsia="fr-FR"/>
              </w:rPr>
              <w:t>or</w:t>
            </w:r>
            <w:r w:rsidR="00571FE6" w:rsidRPr="00D53AFE">
              <w:rPr>
                <w:rFonts w:ascii="Century Gothic" w:hAnsi="Century Gothic"/>
                <w:bCs/>
                <w:sz w:val="16"/>
                <w:szCs w:val="16"/>
                <w:lang w:eastAsia="fr-FR"/>
              </w:rPr>
              <w:t xml:space="preserve"> </w:t>
            </w:r>
          </w:p>
          <w:p w14:paraId="1E2AAB6F" w14:textId="1E0E8E30" w:rsidR="00571FE6" w:rsidRPr="00D53AFE" w:rsidRDefault="007C7B2C" w:rsidP="00CD7EF7">
            <w:pPr>
              <w:pStyle w:val="ListParagraph"/>
              <w:numPr>
                <w:ilvl w:val="0"/>
                <w:numId w:val="35"/>
              </w:numPr>
              <w:ind w:left="404" w:hanging="284"/>
              <w:jc w:val="both"/>
              <w:rPr>
                <w:rFonts w:ascii="Century Gothic" w:hAnsi="Century Gothic"/>
                <w:sz w:val="16"/>
                <w:szCs w:val="16"/>
                <w:lang w:eastAsia="fr-FR"/>
              </w:rPr>
            </w:pPr>
            <w:r w:rsidRPr="00D53AFE">
              <w:rPr>
                <w:rFonts w:ascii="Century Gothic" w:hAnsi="Century Gothic"/>
                <w:bCs/>
                <w:sz w:val="16"/>
                <w:szCs w:val="16"/>
                <w:u w:val="single"/>
                <w:lang w:eastAsia="fr-FR"/>
              </w:rPr>
              <w:t>I</w:t>
            </w:r>
            <w:r w:rsidR="00571FE6" w:rsidRPr="00D53AFE">
              <w:rPr>
                <w:rFonts w:ascii="Century Gothic" w:hAnsi="Century Gothic"/>
                <w:bCs/>
                <w:sz w:val="16"/>
                <w:szCs w:val="16"/>
                <w:u w:val="single"/>
                <w:lang w:eastAsia="fr-FR"/>
              </w:rPr>
              <w:t>f at the time of the application the acquisition is in process of being registered with the Property Registry</w:t>
            </w:r>
            <w:r w:rsidR="00571FE6" w:rsidRPr="00D53AFE">
              <w:rPr>
                <w:rFonts w:ascii="Century Gothic" w:hAnsi="Century Gothic"/>
                <w:bCs/>
                <w:sz w:val="16"/>
                <w:szCs w:val="16"/>
                <w:lang w:eastAsia="fr-FR"/>
              </w:rPr>
              <w:t xml:space="preserve">, certificate of the Registry proving the entry for the acquisition document, </w:t>
            </w:r>
            <w:r w:rsidR="00571FE6" w:rsidRPr="00D53AFE">
              <w:rPr>
                <w:rFonts w:ascii="Century Gothic" w:hAnsi="Century Gothic"/>
                <w:b/>
                <w:bCs/>
                <w:sz w:val="16"/>
                <w:szCs w:val="16"/>
                <w:lang w:eastAsia="fr-FR"/>
              </w:rPr>
              <w:t>or</w:t>
            </w:r>
          </w:p>
          <w:p w14:paraId="5CFAB6E2" w14:textId="082CFA6D" w:rsidR="00571FE6" w:rsidRPr="00D53AFE" w:rsidRDefault="007C7B2C" w:rsidP="00CD7EF7">
            <w:pPr>
              <w:pStyle w:val="ListParagraph"/>
              <w:numPr>
                <w:ilvl w:val="0"/>
                <w:numId w:val="35"/>
              </w:numPr>
              <w:ind w:left="404" w:hanging="284"/>
              <w:jc w:val="both"/>
              <w:rPr>
                <w:rFonts w:ascii="Century Gothic" w:hAnsi="Century Gothic"/>
                <w:sz w:val="16"/>
                <w:szCs w:val="16"/>
                <w:lang w:eastAsia="fr-FR"/>
              </w:rPr>
            </w:pPr>
            <w:r w:rsidRPr="00D53AFE">
              <w:rPr>
                <w:rFonts w:ascii="Century Gothic" w:hAnsi="Century Gothic"/>
                <w:bCs/>
                <w:sz w:val="16"/>
                <w:szCs w:val="16"/>
                <w:u w:val="single"/>
                <w:lang w:eastAsia="fr-FR"/>
              </w:rPr>
              <w:t>I</w:t>
            </w:r>
            <w:r w:rsidR="00571FE6" w:rsidRPr="00D53AFE">
              <w:rPr>
                <w:rFonts w:ascii="Century Gothic" w:hAnsi="Century Gothic"/>
                <w:bCs/>
                <w:sz w:val="16"/>
                <w:szCs w:val="16"/>
                <w:u w:val="single"/>
                <w:lang w:eastAsia="fr-FR"/>
              </w:rPr>
              <w:t>f at the time of the application the acquisition was not formalised but there is a pre-contract with guarantee of compliance</w:t>
            </w:r>
            <w:r w:rsidR="00571FE6" w:rsidRPr="00D53AFE">
              <w:rPr>
                <w:rFonts w:ascii="Century Gothic" w:hAnsi="Century Gothic"/>
                <w:bCs/>
                <w:sz w:val="16"/>
                <w:szCs w:val="16"/>
                <w:lang w:eastAsia="fr-FR"/>
              </w:rPr>
              <w:t xml:space="preserve">, present the pre-contract with a certificate from a financial institution established in Spain in which it can be ascertained that the applicant has a bank deposit of which s/he cannot dispose with the amount necessary for </w:t>
            </w:r>
            <w:r w:rsidR="00763E53" w:rsidRPr="00D53AFE">
              <w:rPr>
                <w:rFonts w:ascii="Century Gothic" w:hAnsi="Century Gothic"/>
                <w:bCs/>
                <w:sz w:val="16"/>
                <w:szCs w:val="16"/>
                <w:lang w:eastAsia="fr-FR"/>
              </w:rPr>
              <w:t>acquiring</w:t>
            </w:r>
            <w:r w:rsidR="00571FE6" w:rsidRPr="00D53AFE">
              <w:rPr>
                <w:rFonts w:ascii="Century Gothic" w:hAnsi="Century Gothic"/>
                <w:bCs/>
                <w:sz w:val="16"/>
                <w:szCs w:val="16"/>
                <w:lang w:eastAsia="fr-FR"/>
              </w:rPr>
              <w:t xml:space="preserve"> the real estate property(ies), including an indication of the charges and taxes. The amount of the deposit can only be used for the final purchase of the property or properties indicated in the pre-contract</w:t>
            </w:r>
          </w:p>
        </w:tc>
      </w:tr>
      <w:tr w:rsidR="00571FE6" w:rsidRPr="00D53AFE" w14:paraId="522CDD06" w14:textId="77777777" w:rsidTr="008F47D4">
        <w:tc>
          <w:tcPr>
            <w:tcW w:w="1472" w:type="dxa"/>
            <w:shd w:val="clear" w:color="auto" w:fill="B8CCE4"/>
          </w:tcPr>
          <w:p w14:paraId="60D0FFF1" w14:textId="67A0761B" w:rsidR="00571FE6" w:rsidRPr="00D53AFE" w:rsidRDefault="00571FE6" w:rsidP="00CD7EF7">
            <w:pPr>
              <w:jc w:val="both"/>
              <w:rPr>
                <w:rFonts w:ascii="Century Gothic" w:hAnsi="Century Gothic"/>
                <w:b/>
                <w:sz w:val="16"/>
                <w:szCs w:val="16"/>
                <w:lang w:eastAsia="fr-FR"/>
              </w:rPr>
            </w:pPr>
            <w:r w:rsidRPr="00D53AFE">
              <w:rPr>
                <w:rFonts w:ascii="Century Gothic" w:hAnsi="Century Gothic"/>
                <w:b/>
                <w:sz w:val="16"/>
                <w:szCs w:val="16"/>
                <w:lang w:eastAsia="fr-FR"/>
              </w:rPr>
              <w:t>Business project</w:t>
            </w:r>
          </w:p>
        </w:tc>
        <w:tc>
          <w:tcPr>
            <w:tcW w:w="2866" w:type="dxa"/>
            <w:shd w:val="clear" w:color="auto" w:fill="DBE5F1"/>
          </w:tcPr>
          <w:p w14:paraId="1F93F1D4" w14:textId="408FEA22" w:rsidR="00571FE6" w:rsidRPr="00D53AFE" w:rsidRDefault="00571FE6" w:rsidP="00CD7EF7">
            <w:pPr>
              <w:jc w:val="both"/>
              <w:rPr>
                <w:rFonts w:ascii="Century Gothic" w:hAnsi="Century Gothic"/>
                <w:bCs/>
                <w:sz w:val="16"/>
                <w:szCs w:val="16"/>
                <w:lang w:eastAsia="fr-FR"/>
              </w:rPr>
            </w:pPr>
            <w:r w:rsidRPr="00D53AFE">
              <w:rPr>
                <w:rFonts w:ascii="Century Gothic" w:hAnsi="Century Gothic"/>
                <w:bCs/>
                <w:sz w:val="16"/>
                <w:szCs w:val="16"/>
                <w:lang w:eastAsia="fr-FR"/>
              </w:rPr>
              <w:t xml:space="preserve">Favourable report of the </w:t>
            </w:r>
            <w:r w:rsidRPr="00D53AFE">
              <w:rPr>
                <w:rFonts w:ascii="Century Gothic" w:hAnsi="Century Gothic"/>
                <w:bCs/>
                <w:sz w:val="16"/>
                <w:szCs w:val="16"/>
              </w:rPr>
              <w:t>Economic and Commercial Office of the consulate</w:t>
            </w:r>
          </w:p>
        </w:tc>
        <w:tc>
          <w:tcPr>
            <w:tcW w:w="4729" w:type="dxa"/>
            <w:gridSpan w:val="2"/>
            <w:shd w:val="clear" w:color="auto" w:fill="DBE5F1"/>
          </w:tcPr>
          <w:p w14:paraId="4CF79C1D" w14:textId="22FAB9D1" w:rsidR="00571FE6" w:rsidRPr="00D53AFE" w:rsidRDefault="00571FE6" w:rsidP="00CD7EF7">
            <w:pPr>
              <w:jc w:val="both"/>
              <w:rPr>
                <w:rFonts w:ascii="Century Gothic" w:hAnsi="Century Gothic"/>
                <w:bCs/>
                <w:sz w:val="16"/>
                <w:szCs w:val="16"/>
                <w:lang w:eastAsia="fr-FR"/>
              </w:rPr>
            </w:pPr>
            <w:r w:rsidRPr="00D53AFE">
              <w:rPr>
                <w:rFonts w:ascii="Century Gothic" w:hAnsi="Century Gothic"/>
                <w:bCs/>
                <w:sz w:val="16"/>
                <w:szCs w:val="16"/>
                <w:lang w:eastAsia="fr-FR"/>
              </w:rPr>
              <w:t>Favourable report of the General Directorate of International Trade and Investments of the Ministry of Economy and Competitiveness</w:t>
            </w:r>
          </w:p>
        </w:tc>
      </w:tr>
    </w:tbl>
    <w:p w14:paraId="2F603C51" w14:textId="77777777" w:rsidR="004F7D4A" w:rsidRPr="00D53AFE" w:rsidRDefault="004F7D4A" w:rsidP="00CD7EF7">
      <w:pPr>
        <w:spacing w:after="0" w:line="240" w:lineRule="auto"/>
        <w:jc w:val="both"/>
        <w:rPr>
          <w:sz w:val="22"/>
          <w:szCs w:val="22"/>
        </w:rPr>
      </w:pPr>
    </w:p>
    <w:p w14:paraId="6BA83ADF" w14:textId="7C74DB95" w:rsidR="006B2D79" w:rsidRPr="00D53AFE" w:rsidRDefault="006B2D79" w:rsidP="00CD7EF7">
      <w:pPr>
        <w:spacing w:after="0" w:line="240" w:lineRule="auto"/>
        <w:jc w:val="both"/>
        <w:rPr>
          <w:bCs/>
          <w:sz w:val="22"/>
          <w:szCs w:val="22"/>
        </w:rPr>
      </w:pPr>
      <w:r w:rsidRPr="00D53AFE">
        <w:rPr>
          <w:sz w:val="22"/>
          <w:szCs w:val="22"/>
        </w:rPr>
        <w:t xml:space="preserve">Additionally, </w:t>
      </w:r>
      <w:r w:rsidRPr="00D53AFE">
        <w:rPr>
          <w:bCs/>
          <w:sz w:val="22"/>
          <w:szCs w:val="22"/>
        </w:rPr>
        <w:t>before the investment is carried out, the authorities competent to issue the corresponding certificate on the fulfilment of the investment requirement will have to verify the lawfulness of the source of the funds</w:t>
      </w:r>
      <w:r w:rsidR="00BB6D19" w:rsidRPr="00D53AFE">
        <w:rPr>
          <w:bCs/>
          <w:sz w:val="22"/>
          <w:szCs w:val="22"/>
        </w:rPr>
        <w:t xml:space="preserve"> according to Law 10/2010 on anti-money laundering.</w:t>
      </w:r>
      <w:r w:rsidR="007C7B2C" w:rsidRPr="00D53AFE">
        <w:rPr>
          <w:rStyle w:val="FootnoteReference"/>
          <w:bCs/>
          <w:sz w:val="22"/>
          <w:szCs w:val="22"/>
        </w:rPr>
        <w:footnoteReference w:id="9"/>
      </w:r>
    </w:p>
    <w:p w14:paraId="44928EF3" w14:textId="77777777" w:rsidR="006B2D79" w:rsidRPr="00D53AFE" w:rsidRDefault="006B2D79" w:rsidP="00CD7EF7">
      <w:pPr>
        <w:spacing w:after="0" w:line="240" w:lineRule="auto"/>
        <w:jc w:val="both"/>
        <w:rPr>
          <w:sz w:val="22"/>
          <w:szCs w:val="22"/>
        </w:rPr>
      </w:pPr>
    </w:p>
    <w:p w14:paraId="111D6755" w14:textId="2A18E222" w:rsidR="00330848" w:rsidRPr="00D53AFE" w:rsidRDefault="00330848" w:rsidP="00CD7EF7">
      <w:pPr>
        <w:spacing w:after="0" w:line="240" w:lineRule="auto"/>
        <w:jc w:val="both"/>
        <w:rPr>
          <w:sz w:val="22"/>
          <w:szCs w:val="22"/>
        </w:rPr>
      </w:pPr>
      <w:r w:rsidRPr="00D53AFE">
        <w:rPr>
          <w:sz w:val="22"/>
          <w:szCs w:val="22"/>
        </w:rPr>
        <w:t xml:space="preserve">Apart from the investment requirement, the </w:t>
      </w:r>
      <w:r w:rsidRPr="00D53AFE">
        <w:rPr>
          <w:b/>
          <w:sz w:val="22"/>
          <w:szCs w:val="22"/>
        </w:rPr>
        <w:t>conditions and procedure to apply for an investors’ residence visa and an investors’ residence authorisation</w:t>
      </w:r>
      <w:r w:rsidRPr="00D53AFE">
        <w:rPr>
          <w:sz w:val="22"/>
          <w:szCs w:val="22"/>
        </w:rPr>
        <w:t xml:space="preserve"> differ.</w:t>
      </w:r>
    </w:p>
    <w:p w14:paraId="3BF8B71D" w14:textId="4F95AA9A" w:rsidR="00330848" w:rsidRPr="00D53AFE" w:rsidRDefault="00330848" w:rsidP="00CD7EF7">
      <w:pPr>
        <w:spacing w:after="0" w:line="240" w:lineRule="auto"/>
        <w:jc w:val="both"/>
        <w:rPr>
          <w:sz w:val="22"/>
          <w:szCs w:val="22"/>
        </w:rPr>
      </w:pPr>
    </w:p>
    <w:p w14:paraId="3BBEB255" w14:textId="0D326902" w:rsidR="00330848" w:rsidRPr="00D53AFE" w:rsidRDefault="00330848" w:rsidP="00CD7EF7">
      <w:pPr>
        <w:spacing w:after="0" w:line="240" w:lineRule="auto"/>
        <w:jc w:val="both"/>
        <w:rPr>
          <w:i/>
          <w:sz w:val="22"/>
          <w:szCs w:val="22"/>
          <w:u w:val="single"/>
        </w:rPr>
      </w:pPr>
      <w:r w:rsidRPr="00D53AFE">
        <w:rPr>
          <w:i/>
          <w:sz w:val="22"/>
          <w:szCs w:val="22"/>
          <w:u w:val="single"/>
        </w:rPr>
        <w:t xml:space="preserve">Conditions and procedure for an investors’ residence visa </w:t>
      </w:r>
    </w:p>
    <w:p w14:paraId="1AEA4B1A" w14:textId="1DEF6112" w:rsidR="000324B9" w:rsidRPr="00D53AFE" w:rsidRDefault="00844F99" w:rsidP="00CD7EF7">
      <w:pPr>
        <w:spacing w:after="0" w:line="240" w:lineRule="auto"/>
        <w:jc w:val="both"/>
        <w:rPr>
          <w:bCs/>
          <w:sz w:val="22"/>
          <w:szCs w:val="22"/>
        </w:rPr>
      </w:pPr>
      <w:r w:rsidRPr="00D53AFE">
        <w:rPr>
          <w:bCs/>
          <w:sz w:val="22"/>
          <w:szCs w:val="22"/>
        </w:rPr>
        <w:t xml:space="preserve">To issue the investors’ residence visa the applicant must meet the general </w:t>
      </w:r>
      <w:r w:rsidRPr="00D53AFE">
        <w:rPr>
          <w:b/>
          <w:bCs/>
          <w:sz w:val="22"/>
          <w:szCs w:val="22"/>
        </w:rPr>
        <w:t>entry requirements</w:t>
      </w:r>
      <w:r w:rsidRPr="00D53AFE">
        <w:rPr>
          <w:bCs/>
          <w:sz w:val="22"/>
          <w:szCs w:val="22"/>
          <w:vertAlign w:val="superscript"/>
        </w:rPr>
        <w:footnoteReference w:id="10"/>
      </w:r>
      <w:r w:rsidRPr="00D53AFE">
        <w:rPr>
          <w:bCs/>
          <w:sz w:val="22"/>
          <w:szCs w:val="22"/>
        </w:rPr>
        <w:t xml:space="preserve"> set in Regulation (EC) 562/2006 (Schengen Borders Code)</w:t>
      </w:r>
      <w:r w:rsidRPr="00D53AFE">
        <w:rPr>
          <w:bCs/>
          <w:sz w:val="22"/>
          <w:szCs w:val="22"/>
          <w:vertAlign w:val="superscript"/>
        </w:rPr>
        <w:footnoteReference w:id="11"/>
      </w:r>
      <w:r w:rsidRPr="00D53AFE">
        <w:rPr>
          <w:bCs/>
          <w:sz w:val="22"/>
          <w:szCs w:val="22"/>
        </w:rPr>
        <w:t xml:space="preserve"> a</w:t>
      </w:r>
      <w:r w:rsidR="00A23DAB" w:rsidRPr="00D53AFE">
        <w:rPr>
          <w:bCs/>
          <w:sz w:val="22"/>
          <w:szCs w:val="22"/>
        </w:rPr>
        <w:t>nd Regulation 810/2009</w:t>
      </w:r>
      <w:r w:rsidR="00A23DAB" w:rsidRPr="00D53AFE">
        <w:rPr>
          <w:sz w:val="22"/>
          <w:szCs w:val="22"/>
          <w:vertAlign w:val="superscript"/>
        </w:rPr>
        <w:footnoteReference w:id="12"/>
      </w:r>
      <w:r w:rsidR="000324B9" w:rsidRPr="00D53AFE">
        <w:rPr>
          <w:bCs/>
          <w:sz w:val="22"/>
          <w:szCs w:val="22"/>
        </w:rPr>
        <w:t xml:space="preserve">. The applicant must hold a valid passport or travel document, prove sufficient means of subsistence and pay an </w:t>
      </w:r>
      <w:r w:rsidR="000324B9" w:rsidRPr="00D53AFE">
        <w:rPr>
          <w:b/>
          <w:bCs/>
          <w:sz w:val="22"/>
          <w:szCs w:val="22"/>
        </w:rPr>
        <w:t xml:space="preserve">EUR 60 </w:t>
      </w:r>
      <w:r w:rsidR="000324B9" w:rsidRPr="00D53AFE">
        <w:rPr>
          <w:bCs/>
          <w:sz w:val="22"/>
          <w:szCs w:val="22"/>
        </w:rPr>
        <w:t>non-refundable administrative fee.</w:t>
      </w:r>
      <w:r w:rsidR="00BB6D19" w:rsidRPr="00D53AFE">
        <w:rPr>
          <w:bCs/>
          <w:sz w:val="22"/>
          <w:szCs w:val="22"/>
        </w:rPr>
        <w:t xml:space="preserve"> </w:t>
      </w:r>
    </w:p>
    <w:p w14:paraId="565BFF77" w14:textId="77777777" w:rsidR="00C46BD7" w:rsidRPr="00D53AFE" w:rsidRDefault="00C46BD7" w:rsidP="00CD7EF7">
      <w:pPr>
        <w:spacing w:after="0" w:line="240" w:lineRule="auto"/>
        <w:jc w:val="both"/>
        <w:rPr>
          <w:bCs/>
          <w:sz w:val="22"/>
          <w:szCs w:val="22"/>
        </w:rPr>
      </w:pPr>
    </w:p>
    <w:p w14:paraId="04375ED0" w14:textId="036BB719" w:rsidR="00844F99" w:rsidRPr="00D53AFE" w:rsidRDefault="00C67261" w:rsidP="00CD7EF7">
      <w:pPr>
        <w:spacing w:after="0" w:line="240" w:lineRule="auto"/>
        <w:jc w:val="both"/>
        <w:rPr>
          <w:bCs/>
          <w:sz w:val="22"/>
          <w:szCs w:val="22"/>
        </w:rPr>
      </w:pPr>
      <w:r w:rsidRPr="00D53AFE">
        <w:rPr>
          <w:bCs/>
          <w:sz w:val="22"/>
          <w:szCs w:val="22"/>
        </w:rPr>
        <w:t>Applications</w:t>
      </w:r>
      <w:r w:rsidR="00844F99" w:rsidRPr="00D53AFE">
        <w:rPr>
          <w:bCs/>
          <w:sz w:val="22"/>
          <w:szCs w:val="22"/>
        </w:rPr>
        <w:t xml:space="preserve"> must be submitted</w:t>
      </w:r>
      <w:r w:rsidRPr="00D53AFE">
        <w:rPr>
          <w:bCs/>
          <w:sz w:val="22"/>
          <w:szCs w:val="22"/>
        </w:rPr>
        <w:t xml:space="preserve"> no more than </w:t>
      </w:r>
      <w:r w:rsidRPr="00D53AFE">
        <w:rPr>
          <w:b/>
          <w:bCs/>
          <w:sz w:val="22"/>
          <w:szCs w:val="22"/>
        </w:rPr>
        <w:t>three months before the start of the intended stay</w:t>
      </w:r>
      <w:r w:rsidR="00844F99" w:rsidRPr="00D53AFE">
        <w:rPr>
          <w:bCs/>
          <w:sz w:val="22"/>
          <w:szCs w:val="22"/>
        </w:rPr>
        <w:t xml:space="preserve"> in the </w:t>
      </w:r>
      <w:r w:rsidR="00844F99" w:rsidRPr="00D53AFE">
        <w:rPr>
          <w:b/>
          <w:bCs/>
          <w:sz w:val="22"/>
          <w:szCs w:val="22"/>
        </w:rPr>
        <w:t xml:space="preserve">form </w:t>
      </w:r>
      <w:r w:rsidR="00844F99" w:rsidRPr="00D53AFE">
        <w:rPr>
          <w:bCs/>
          <w:sz w:val="22"/>
          <w:szCs w:val="22"/>
        </w:rPr>
        <w:t>established in Regulation 810/2009</w:t>
      </w:r>
      <w:r w:rsidR="00913136" w:rsidRPr="00D53AFE">
        <w:rPr>
          <w:bCs/>
          <w:sz w:val="22"/>
          <w:szCs w:val="22"/>
        </w:rPr>
        <w:t xml:space="preserve"> </w:t>
      </w:r>
      <w:r w:rsidR="00913136" w:rsidRPr="00D53AFE">
        <w:rPr>
          <w:b/>
          <w:bCs/>
          <w:sz w:val="22"/>
          <w:szCs w:val="22"/>
        </w:rPr>
        <w:t>in person</w:t>
      </w:r>
      <w:r w:rsidR="00913136" w:rsidRPr="00D53AFE">
        <w:rPr>
          <w:bCs/>
          <w:sz w:val="22"/>
          <w:szCs w:val="22"/>
        </w:rPr>
        <w:t xml:space="preserve"> by the applicant or an accredited commercial intermediary</w:t>
      </w:r>
      <w:r w:rsidR="008F47D4" w:rsidRPr="00D53AFE">
        <w:rPr>
          <w:bCs/>
          <w:sz w:val="22"/>
          <w:szCs w:val="22"/>
        </w:rPr>
        <w:t xml:space="preserve">. </w:t>
      </w:r>
      <w:r w:rsidR="00913136" w:rsidRPr="00D53AFE">
        <w:rPr>
          <w:bCs/>
          <w:sz w:val="22"/>
          <w:szCs w:val="22"/>
        </w:rPr>
        <w:t>When the inve</w:t>
      </w:r>
      <w:r w:rsidR="00F80581" w:rsidRPr="00D53AFE">
        <w:rPr>
          <w:bCs/>
          <w:sz w:val="22"/>
          <w:szCs w:val="22"/>
        </w:rPr>
        <w:t>stment is in a business project,</w:t>
      </w:r>
      <w:r w:rsidR="00913136" w:rsidRPr="00D53AFE">
        <w:rPr>
          <w:bCs/>
          <w:sz w:val="22"/>
          <w:szCs w:val="22"/>
        </w:rPr>
        <w:t xml:space="preserve"> the visa can also be obtained by a representative. Normally, an appointment is set with the consulate to lodge the application.</w:t>
      </w:r>
    </w:p>
    <w:p w14:paraId="5566CCBE" w14:textId="7CAD4C26" w:rsidR="00913136" w:rsidRPr="00D53AFE" w:rsidRDefault="00913136" w:rsidP="00CD7EF7">
      <w:pPr>
        <w:spacing w:after="0" w:line="240" w:lineRule="auto"/>
        <w:jc w:val="both"/>
        <w:rPr>
          <w:sz w:val="22"/>
          <w:szCs w:val="22"/>
        </w:rPr>
      </w:pPr>
    </w:p>
    <w:p w14:paraId="4E19CC43" w14:textId="2B337408" w:rsidR="00844F99" w:rsidRPr="00D53AFE" w:rsidRDefault="00913136" w:rsidP="00CD7EF7">
      <w:pPr>
        <w:spacing w:after="0" w:line="240" w:lineRule="auto"/>
        <w:jc w:val="both"/>
        <w:rPr>
          <w:bCs/>
          <w:sz w:val="22"/>
          <w:szCs w:val="22"/>
        </w:rPr>
      </w:pPr>
      <w:r w:rsidRPr="00D53AFE">
        <w:rPr>
          <w:sz w:val="22"/>
          <w:szCs w:val="22"/>
        </w:rPr>
        <w:t xml:space="preserve">Investors’ residence visa applications are examined and decided upon by the Spanish </w:t>
      </w:r>
      <w:r w:rsidRPr="00D53AFE">
        <w:rPr>
          <w:b/>
          <w:sz w:val="22"/>
          <w:szCs w:val="22"/>
        </w:rPr>
        <w:t>consular offices and diplomatic missions</w:t>
      </w:r>
      <w:r w:rsidRPr="00D53AFE">
        <w:rPr>
          <w:sz w:val="22"/>
          <w:szCs w:val="22"/>
        </w:rPr>
        <w:t xml:space="preserve"> in the territory from where the foreigner intends to access the Spanish territory. </w:t>
      </w:r>
      <w:r w:rsidR="001D23C6" w:rsidRPr="00D53AFE">
        <w:rPr>
          <w:bCs/>
          <w:sz w:val="22"/>
          <w:szCs w:val="22"/>
        </w:rPr>
        <w:t>The</w:t>
      </w:r>
      <w:r w:rsidRPr="00D53AFE">
        <w:rPr>
          <w:b/>
          <w:bCs/>
          <w:sz w:val="22"/>
          <w:szCs w:val="22"/>
        </w:rPr>
        <w:t xml:space="preserve"> consulate</w:t>
      </w:r>
      <w:r w:rsidRPr="00D53AFE">
        <w:rPr>
          <w:bCs/>
          <w:sz w:val="22"/>
          <w:szCs w:val="22"/>
        </w:rPr>
        <w:t xml:space="preserve"> or diplomatic mission, following their own discretion, in justified cases,</w:t>
      </w:r>
      <w:r w:rsidR="001D23C6" w:rsidRPr="00D53AFE">
        <w:rPr>
          <w:bCs/>
          <w:sz w:val="22"/>
          <w:szCs w:val="22"/>
        </w:rPr>
        <w:t xml:space="preserve"> can</w:t>
      </w:r>
      <w:r w:rsidRPr="00D53AFE">
        <w:rPr>
          <w:b/>
          <w:bCs/>
          <w:sz w:val="22"/>
          <w:szCs w:val="22"/>
        </w:rPr>
        <w:t xml:space="preserve"> request the applicant to appear in person for a personal interview</w:t>
      </w:r>
      <w:r w:rsidRPr="00D53AFE">
        <w:rPr>
          <w:bCs/>
          <w:sz w:val="22"/>
          <w:szCs w:val="22"/>
        </w:rPr>
        <w:t xml:space="preserve"> and to present </w:t>
      </w:r>
      <w:r w:rsidRPr="00D53AFE">
        <w:rPr>
          <w:b/>
          <w:bCs/>
          <w:sz w:val="22"/>
          <w:szCs w:val="22"/>
        </w:rPr>
        <w:t>additional documents</w:t>
      </w:r>
      <w:r w:rsidRPr="00D53AFE">
        <w:rPr>
          <w:bCs/>
          <w:sz w:val="22"/>
          <w:szCs w:val="22"/>
        </w:rPr>
        <w:t xml:space="preserve">. </w:t>
      </w:r>
      <w:r w:rsidR="00844F99" w:rsidRPr="00D53AFE">
        <w:rPr>
          <w:bCs/>
          <w:sz w:val="22"/>
          <w:szCs w:val="22"/>
        </w:rPr>
        <w:t xml:space="preserve">The </w:t>
      </w:r>
      <w:r w:rsidR="00844F99" w:rsidRPr="00D53AFE">
        <w:rPr>
          <w:b/>
          <w:bCs/>
          <w:sz w:val="22"/>
          <w:szCs w:val="22"/>
        </w:rPr>
        <w:t>time-frame</w:t>
      </w:r>
      <w:r w:rsidR="00844F99" w:rsidRPr="00D53AFE">
        <w:rPr>
          <w:bCs/>
          <w:sz w:val="22"/>
          <w:szCs w:val="22"/>
        </w:rPr>
        <w:t xml:space="preserve"> for the consulate to </w:t>
      </w:r>
      <w:r w:rsidR="00844F99" w:rsidRPr="00D53AFE">
        <w:rPr>
          <w:b/>
          <w:bCs/>
          <w:sz w:val="22"/>
          <w:szCs w:val="22"/>
        </w:rPr>
        <w:t>decide</w:t>
      </w:r>
      <w:r w:rsidR="00844F99" w:rsidRPr="00D53AFE">
        <w:rPr>
          <w:bCs/>
          <w:sz w:val="22"/>
          <w:szCs w:val="22"/>
        </w:rPr>
        <w:t xml:space="preserve"> on the visa application is of </w:t>
      </w:r>
      <w:r w:rsidR="00844F99" w:rsidRPr="00D53AFE">
        <w:rPr>
          <w:b/>
          <w:bCs/>
          <w:sz w:val="22"/>
          <w:szCs w:val="22"/>
        </w:rPr>
        <w:t>ten days from the filing of the application</w:t>
      </w:r>
      <w:r w:rsidR="00844F99" w:rsidRPr="00D53AFE">
        <w:rPr>
          <w:bCs/>
          <w:sz w:val="22"/>
          <w:szCs w:val="22"/>
        </w:rPr>
        <w:t>, unless it is necessary to consult the central authorities of other Member States.</w:t>
      </w:r>
      <w:r w:rsidR="008F47D4" w:rsidRPr="00D53AFE">
        <w:rPr>
          <w:bCs/>
          <w:sz w:val="22"/>
          <w:szCs w:val="22"/>
        </w:rPr>
        <w:t xml:space="preserve"> </w:t>
      </w:r>
      <w:r w:rsidR="00844F99" w:rsidRPr="00D53AFE">
        <w:rPr>
          <w:bCs/>
          <w:sz w:val="22"/>
          <w:szCs w:val="22"/>
        </w:rPr>
        <w:t>In this case, the authorities of the other Member State must answer the request within seven calendar days.</w:t>
      </w:r>
      <w:r w:rsidR="008F47D4" w:rsidRPr="00D53AFE">
        <w:rPr>
          <w:bCs/>
          <w:sz w:val="22"/>
          <w:szCs w:val="22"/>
          <w:vertAlign w:val="superscript"/>
        </w:rPr>
        <w:footnoteReference w:id="13"/>
      </w:r>
      <w:r w:rsidR="008F47D4" w:rsidRPr="00D53AFE">
        <w:rPr>
          <w:bCs/>
          <w:sz w:val="22"/>
          <w:szCs w:val="22"/>
        </w:rPr>
        <w:t xml:space="preserve"> </w:t>
      </w:r>
    </w:p>
    <w:p w14:paraId="4EBE0A25" w14:textId="77777777" w:rsidR="00844F99" w:rsidRPr="00D53AFE" w:rsidRDefault="00844F99" w:rsidP="00CD7EF7">
      <w:pPr>
        <w:spacing w:after="0" w:line="240" w:lineRule="auto"/>
        <w:jc w:val="both"/>
        <w:rPr>
          <w:bCs/>
          <w:sz w:val="22"/>
          <w:szCs w:val="22"/>
        </w:rPr>
      </w:pPr>
    </w:p>
    <w:p w14:paraId="45946CFA" w14:textId="4898D405" w:rsidR="00330848" w:rsidRPr="00D53AFE" w:rsidRDefault="00416530" w:rsidP="00CD7EF7">
      <w:pPr>
        <w:spacing w:after="0" w:line="240" w:lineRule="auto"/>
        <w:jc w:val="both"/>
        <w:rPr>
          <w:sz w:val="22"/>
          <w:szCs w:val="22"/>
        </w:rPr>
      </w:pPr>
      <w:r w:rsidRPr="00D53AFE">
        <w:rPr>
          <w:sz w:val="22"/>
          <w:szCs w:val="22"/>
        </w:rPr>
        <w:t>T</w:t>
      </w:r>
      <w:r w:rsidR="00845380" w:rsidRPr="00D53AFE">
        <w:rPr>
          <w:sz w:val="22"/>
          <w:szCs w:val="22"/>
        </w:rPr>
        <w:t xml:space="preserve">he application </w:t>
      </w:r>
      <w:r w:rsidR="00FB3209" w:rsidRPr="00D53AFE">
        <w:rPr>
          <w:sz w:val="22"/>
          <w:szCs w:val="22"/>
        </w:rPr>
        <w:t xml:space="preserve">may be refused if the requirements </w:t>
      </w:r>
      <w:r w:rsidR="00C67261" w:rsidRPr="00D53AFE">
        <w:rPr>
          <w:sz w:val="22"/>
          <w:szCs w:val="22"/>
        </w:rPr>
        <w:t>for issuing</w:t>
      </w:r>
      <w:r w:rsidR="00FB3209" w:rsidRPr="00D53AFE">
        <w:rPr>
          <w:sz w:val="22"/>
          <w:szCs w:val="22"/>
        </w:rPr>
        <w:t xml:space="preserve"> the visa are not fulfilled. </w:t>
      </w:r>
      <w:r w:rsidR="00845380" w:rsidRPr="00D53AFE">
        <w:rPr>
          <w:sz w:val="22"/>
          <w:szCs w:val="22"/>
        </w:rPr>
        <w:t>In this case,</w:t>
      </w:r>
      <w:r w:rsidR="00844F99" w:rsidRPr="00D53AFE">
        <w:rPr>
          <w:sz w:val="22"/>
          <w:szCs w:val="22"/>
        </w:rPr>
        <w:t xml:space="preserve"> the decision is </w:t>
      </w:r>
      <w:r w:rsidR="00844F99" w:rsidRPr="00D53AFE">
        <w:rPr>
          <w:b/>
          <w:bCs/>
          <w:sz w:val="22"/>
          <w:szCs w:val="22"/>
        </w:rPr>
        <w:t>notified through a standardised handout</w:t>
      </w:r>
      <w:r w:rsidR="00844F99" w:rsidRPr="00D53AFE">
        <w:rPr>
          <w:sz w:val="22"/>
          <w:szCs w:val="22"/>
        </w:rPr>
        <w:t xml:space="preserve">, </w:t>
      </w:r>
      <w:r w:rsidR="00844F99" w:rsidRPr="00D53AFE">
        <w:rPr>
          <w:b/>
          <w:bCs/>
          <w:sz w:val="22"/>
          <w:szCs w:val="22"/>
        </w:rPr>
        <w:t>indicating the possibility to</w:t>
      </w:r>
      <w:r w:rsidR="00844F99" w:rsidRPr="00D53AFE">
        <w:rPr>
          <w:sz w:val="22"/>
          <w:szCs w:val="22"/>
        </w:rPr>
        <w:t xml:space="preserve"> </w:t>
      </w:r>
      <w:r w:rsidR="00844F99" w:rsidRPr="00D53AFE">
        <w:rPr>
          <w:b/>
          <w:bCs/>
          <w:sz w:val="22"/>
          <w:szCs w:val="22"/>
        </w:rPr>
        <w:t>appeal</w:t>
      </w:r>
      <w:r w:rsidR="00844F99" w:rsidRPr="00D53AFE">
        <w:rPr>
          <w:sz w:val="22"/>
          <w:szCs w:val="22"/>
        </w:rPr>
        <w:t xml:space="preserve">, the </w:t>
      </w:r>
      <w:r w:rsidR="00844F99" w:rsidRPr="00D53AFE">
        <w:rPr>
          <w:b/>
          <w:bCs/>
          <w:sz w:val="22"/>
          <w:szCs w:val="22"/>
        </w:rPr>
        <w:t>term</w:t>
      </w:r>
      <w:r w:rsidR="00844F99" w:rsidRPr="00D53AFE">
        <w:rPr>
          <w:sz w:val="22"/>
          <w:szCs w:val="22"/>
        </w:rPr>
        <w:t xml:space="preserve"> to file the appeal and the </w:t>
      </w:r>
      <w:r w:rsidR="00844F99" w:rsidRPr="00D53AFE">
        <w:rPr>
          <w:b/>
          <w:bCs/>
          <w:sz w:val="22"/>
          <w:szCs w:val="22"/>
        </w:rPr>
        <w:t>competent authority</w:t>
      </w:r>
      <w:r w:rsidRPr="00D53AFE">
        <w:rPr>
          <w:sz w:val="22"/>
          <w:szCs w:val="22"/>
        </w:rPr>
        <w:t>.</w:t>
      </w:r>
    </w:p>
    <w:p w14:paraId="49FD8218" w14:textId="0534460C" w:rsidR="00844F99" w:rsidRPr="00D53AFE" w:rsidRDefault="00844F99" w:rsidP="00CD7EF7">
      <w:pPr>
        <w:spacing w:after="0" w:line="240" w:lineRule="auto"/>
        <w:jc w:val="both"/>
        <w:rPr>
          <w:i/>
          <w:sz w:val="22"/>
          <w:szCs w:val="22"/>
        </w:rPr>
      </w:pPr>
    </w:p>
    <w:p w14:paraId="7FBEA87F" w14:textId="1ED3A413" w:rsidR="00844F99" w:rsidRPr="00D53AFE" w:rsidRDefault="00844F99" w:rsidP="00CD7EF7">
      <w:pPr>
        <w:spacing w:after="0" w:line="240" w:lineRule="auto"/>
        <w:jc w:val="both"/>
        <w:rPr>
          <w:bCs/>
          <w:sz w:val="22"/>
          <w:szCs w:val="22"/>
        </w:rPr>
      </w:pPr>
      <w:r w:rsidRPr="00D53AFE">
        <w:rPr>
          <w:bCs/>
          <w:sz w:val="22"/>
          <w:szCs w:val="22"/>
        </w:rPr>
        <w:t xml:space="preserve">Should the consulate (or diplomatic mission) </w:t>
      </w:r>
      <w:r w:rsidRPr="00D53AFE">
        <w:rPr>
          <w:b/>
          <w:bCs/>
          <w:sz w:val="22"/>
          <w:szCs w:val="22"/>
        </w:rPr>
        <w:t>decide to issue the investors’ residence visa</w:t>
      </w:r>
      <w:r w:rsidRPr="00D53AFE">
        <w:rPr>
          <w:bCs/>
          <w:sz w:val="22"/>
          <w:szCs w:val="22"/>
        </w:rPr>
        <w:t xml:space="preserve">, it will do so following the </w:t>
      </w:r>
      <w:r w:rsidRPr="00D53AFE">
        <w:rPr>
          <w:b/>
          <w:bCs/>
          <w:sz w:val="22"/>
          <w:szCs w:val="22"/>
        </w:rPr>
        <w:t>uniform format</w:t>
      </w:r>
      <w:r w:rsidRPr="00D53AFE">
        <w:rPr>
          <w:bCs/>
          <w:sz w:val="22"/>
          <w:szCs w:val="22"/>
        </w:rPr>
        <w:t xml:space="preserve"> set out in Council Regulation (EC) No 1683/95</w:t>
      </w:r>
      <w:r w:rsidRPr="00D53AFE">
        <w:rPr>
          <w:bCs/>
          <w:sz w:val="22"/>
          <w:szCs w:val="22"/>
          <w:vertAlign w:val="superscript"/>
        </w:rPr>
        <w:footnoteReference w:id="14"/>
      </w:r>
      <w:r w:rsidRPr="00D53AFE">
        <w:rPr>
          <w:bCs/>
          <w:sz w:val="22"/>
          <w:szCs w:val="22"/>
        </w:rPr>
        <w:t xml:space="preserve"> with the heading specifying the type of visa with </w:t>
      </w:r>
      <w:r w:rsidRPr="00D53AFE">
        <w:rPr>
          <w:b/>
          <w:bCs/>
          <w:sz w:val="22"/>
          <w:szCs w:val="22"/>
        </w:rPr>
        <w:t>the letter “D</w:t>
      </w:r>
      <w:r w:rsidRPr="00D53AFE">
        <w:rPr>
          <w:bCs/>
          <w:sz w:val="22"/>
          <w:szCs w:val="22"/>
        </w:rPr>
        <w:t xml:space="preserve">”. The foreigner must </w:t>
      </w:r>
      <w:r w:rsidRPr="00D53AFE">
        <w:rPr>
          <w:b/>
          <w:bCs/>
          <w:sz w:val="22"/>
          <w:szCs w:val="22"/>
        </w:rPr>
        <w:t>pick it up within the month after the decision</w:t>
      </w:r>
      <w:r w:rsidRPr="00D53AFE">
        <w:rPr>
          <w:bCs/>
          <w:sz w:val="22"/>
          <w:szCs w:val="22"/>
        </w:rPr>
        <w:t xml:space="preserve"> of the consulate has been </w:t>
      </w:r>
      <w:r w:rsidRPr="00D53AFE">
        <w:rPr>
          <w:b/>
          <w:bCs/>
          <w:sz w:val="22"/>
          <w:szCs w:val="22"/>
        </w:rPr>
        <w:t>notified</w:t>
      </w:r>
      <w:r w:rsidR="00416530" w:rsidRPr="00D53AFE">
        <w:rPr>
          <w:bCs/>
          <w:sz w:val="22"/>
          <w:szCs w:val="22"/>
        </w:rPr>
        <w:t>.</w:t>
      </w:r>
    </w:p>
    <w:p w14:paraId="5052FB0F" w14:textId="77777777" w:rsidR="00844F99" w:rsidRPr="00D53AFE" w:rsidRDefault="00844F99" w:rsidP="00CD7EF7">
      <w:pPr>
        <w:spacing w:after="0" w:line="240" w:lineRule="auto"/>
        <w:jc w:val="both"/>
        <w:rPr>
          <w:bCs/>
          <w:sz w:val="22"/>
          <w:szCs w:val="22"/>
        </w:rPr>
      </w:pPr>
    </w:p>
    <w:p w14:paraId="3B8E832B" w14:textId="26168528" w:rsidR="00ED5790" w:rsidRPr="00D53AFE" w:rsidRDefault="00844F99" w:rsidP="00CD7EF7">
      <w:pPr>
        <w:spacing w:after="0" w:line="240" w:lineRule="auto"/>
        <w:jc w:val="both"/>
        <w:rPr>
          <w:bCs/>
          <w:sz w:val="22"/>
          <w:szCs w:val="22"/>
        </w:rPr>
      </w:pPr>
      <w:r w:rsidRPr="00D53AFE">
        <w:rPr>
          <w:bCs/>
          <w:sz w:val="22"/>
          <w:szCs w:val="22"/>
        </w:rPr>
        <w:t xml:space="preserve">The investors’ residence visa has a </w:t>
      </w:r>
      <w:r w:rsidRPr="00D53AFE">
        <w:rPr>
          <w:b/>
          <w:bCs/>
          <w:sz w:val="22"/>
          <w:szCs w:val="22"/>
        </w:rPr>
        <w:t>duration</w:t>
      </w:r>
      <w:r w:rsidRPr="00D53AFE">
        <w:rPr>
          <w:bCs/>
          <w:sz w:val="22"/>
          <w:szCs w:val="22"/>
        </w:rPr>
        <w:t xml:space="preserve"> </w:t>
      </w:r>
      <w:r w:rsidRPr="00D53AFE">
        <w:rPr>
          <w:b/>
          <w:bCs/>
          <w:sz w:val="22"/>
          <w:szCs w:val="22"/>
        </w:rPr>
        <w:t>of</w:t>
      </w:r>
      <w:r w:rsidRPr="00D53AFE">
        <w:rPr>
          <w:bCs/>
          <w:sz w:val="22"/>
          <w:szCs w:val="22"/>
        </w:rPr>
        <w:t xml:space="preserve"> </w:t>
      </w:r>
      <w:r w:rsidRPr="00D53AFE">
        <w:rPr>
          <w:b/>
          <w:bCs/>
          <w:sz w:val="22"/>
          <w:szCs w:val="22"/>
        </w:rPr>
        <w:t>one year</w:t>
      </w:r>
      <w:r w:rsidRPr="00D53AFE">
        <w:rPr>
          <w:bCs/>
          <w:sz w:val="22"/>
          <w:szCs w:val="22"/>
        </w:rPr>
        <w:t>, save for</w:t>
      </w:r>
      <w:r w:rsidRPr="00D53AFE">
        <w:rPr>
          <w:b/>
          <w:bCs/>
          <w:sz w:val="22"/>
          <w:szCs w:val="22"/>
        </w:rPr>
        <w:t xml:space="preserve"> </w:t>
      </w:r>
      <w:r w:rsidRPr="00D53AFE">
        <w:rPr>
          <w:bCs/>
          <w:sz w:val="22"/>
          <w:szCs w:val="22"/>
        </w:rPr>
        <w:t xml:space="preserve">the case where the investment made is the acquisition of real state and the purchase has not been formalised yet, when the duration will be of </w:t>
      </w:r>
      <w:r w:rsidRPr="00D53AFE">
        <w:rPr>
          <w:b/>
          <w:bCs/>
          <w:sz w:val="22"/>
          <w:szCs w:val="22"/>
        </w:rPr>
        <w:t xml:space="preserve">six months </w:t>
      </w:r>
      <w:r w:rsidRPr="00D53AFE">
        <w:rPr>
          <w:bCs/>
          <w:sz w:val="22"/>
          <w:szCs w:val="22"/>
        </w:rPr>
        <w:t xml:space="preserve">instead. The </w:t>
      </w:r>
      <w:r w:rsidRPr="00D53AFE">
        <w:rPr>
          <w:b/>
          <w:bCs/>
          <w:sz w:val="22"/>
          <w:szCs w:val="22"/>
        </w:rPr>
        <w:t xml:space="preserve">investors’ residence visa </w:t>
      </w:r>
      <w:r w:rsidRPr="00D53AFE">
        <w:rPr>
          <w:bCs/>
          <w:sz w:val="22"/>
          <w:szCs w:val="22"/>
        </w:rPr>
        <w:t xml:space="preserve">entitles the holder to </w:t>
      </w:r>
      <w:r w:rsidRPr="00D53AFE">
        <w:rPr>
          <w:b/>
          <w:bCs/>
          <w:sz w:val="22"/>
          <w:szCs w:val="22"/>
        </w:rPr>
        <w:t>reside and work</w:t>
      </w:r>
      <w:r w:rsidR="008A6BBC" w:rsidRPr="00D53AFE">
        <w:rPr>
          <w:b/>
          <w:bCs/>
          <w:sz w:val="22"/>
          <w:szCs w:val="22"/>
        </w:rPr>
        <w:t xml:space="preserve">, including as an employee of the business </w:t>
      </w:r>
      <w:r w:rsidR="00C67261" w:rsidRPr="00D53AFE">
        <w:rPr>
          <w:b/>
          <w:bCs/>
          <w:sz w:val="22"/>
          <w:szCs w:val="22"/>
        </w:rPr>
        <w:t>in which the investment was made</w:t>
      </w:r>
      <w:r w:rsidRPr="00D53AFE">
        <w:rPr>
          <w:bCs/>
          <w:sz w:val="22"/>
          <w:szCs w:val="22"/>
        </w:rPr>
        <w:t>.</w:t>
      </w:r>
      <w:r w:rsidRPr="00D53AFE">
        <w:rPr>
          <w:bCs/>
          <w:sz w:val="22"/>
          <w:szCs w:val="22"/>
          <w:vertAlign w:val="superscript"/>
        </w:rPr>
        <w:footnoteReference w:id="15"/>
      </w:r>
      <w:r w:rsidRPr="00D53AFE">
        <w:rPr>
          <w:bCs/>
          <w:sz w:val="22"/>
          <w:szCs w:val="22"/>
        </w:rPr>
        <w:t xml:space="preserve"> </w:t>
      </w:r>
      <w:r w:rsidR="00ED5790" w:rsidRPr="00D53AFE">
        <w:rPr>
          <w:bCs/>
          <w:sz w:val="22"/>
          <w:szCs w:val="22"/>
        </w:rPr>
        <w:t xml:space="preserve">Regulation 810/2009 only provides for the </w:t>
      </w:r>
      <w:r w:rsidR="00ED5790" w:rsidRPr="00D53AFE">
        <w:rPr>
          <w:b/>
          <w:bCs/>
          <w:sz w:val="22"/>
          <w:szCs w:val="22"/>
        </w:rPr>
        <w:t>extension</w:t>
      </w:r>
      <w:r w:rsidR="00ED5790" w:rsidRPr="00D53AFE">
        <w:rPr>
          <w:bCs/>
          <w:sz w:val="22"/>
          <w:szCs w:val="22"/>
        </w:rPr>
        <w:t xml:space="preserve"> of the visa</w:t>
      </w:r>
      <w:r w:rsidR="00ED5790" w:rsidRPr="00D53AFE">
        <w:rPr>
          <w:b/>
          <w:bCs/>
          <w:sz w:val="22"/>
          <w:szCs w:val="22"/>
        </w:rPr>
        <w:t xml:space="preserve"> in extraordinary cases</w:t>
      </w:r>
      <w:r w:rsidR="00ED5790" w:rsidRPr="00D53AFE">
        <w:rPr>
          <w:bCs/>
          <w:sz w:val="22"/>
          <w:szCs w:val="22"/>
        </w:rPr>
        <w:t>.</w:t>
      </w:r>
      <w:r w:rsidR="00ED5790" w:rsidRPr="00D53AFE">
        <w:rPr>
          <w:bCs/>
          <w:sz w:val="22"/>
          <w:szCs w:val="22"/>
          <w:vertAlign w:val="superscript"/>
        </w:rPr>
        <w:footnoteReference w:id="16"/>
      </w:r>
      <w:r w:rsidR="00ED5790" w:rsidRPr="00D53AFE">
        <w:rPr>
          <w:bCs/>
          <w:sz w:val="22"/>
          <w:szCs w:val="22"/>
        </w:rPr>
        <w:t xml:space="preserve"> Therefore, the </w:t>
      </w:r>
      <w:r w:rsidR="00ED5790" w:rsidRPr="00D53AFE">
        <w:rPr>
          <w:b/>
          <w:bCs/>
          <w:sz w:val="22"/>
          <w:szCs w:val="22"/>
        </w:rPr>
        <w:t>logical way to extend the investor’s residence</w:t>
      </w:r>
      <w:r w:rsidR="00ED5790" w:rsidRPr="00D53AFE">
        <w:rPr>
          <w:bCs/>
          <w:sz w:val="22"/>
          <w:szCs w:val="22"/>
        </w:rPr>
        <w:t xml:space="preserve"> in Spain, while the visa is still </w:t>
      </w:r>
      <w:r w:rsidR="00C67261" w:rsidRPr="00D53AFE">
        <w:rPr>
          <w:bCs/>
          <w:sz w:val="22"/>
          <w:szCs w:val="22"/>
        </w:rPr>
        <w:t>valid</w:t>
      </w:r>
      <w:r w:rsidR="00ED5790" w:rsidRPr="00D53AFE">
        <w:rPr>
          <w:bCs/>
          <w:sz w:val="22"/>
          <w:szCs w:val="22"/>
        </w:rPr>
        <w:t xml:space="preserve"> or after it has expired, will be by </w:t>
      </w:r>
      <w:r w:rsidR="00ED5790" w:rsidRPr="00D53AFE">
        <w:rPr>
          <w:b/>
          <w:bCs/>
          <w:sz w:val="22"/>
          <w:szCs w:val="22"/>
        </w:rPr>
        <w:t>applying for an investors’ residence authorisation</w:t>
      </w:r>
      <w:r w:rsidR="00ED5790" w:rsidRPr="00D53AFE">
        <w:rPr>
          <w:bCs/>
          <w:sz w:val="22"/>
          <w:szCs w:val="22"/>
        </w:rPr>
        <w:t>.</w:t>
      </w:r>
    </w:p>
    <w:p w14:paraId="47EB031B" w14:textId="77777777" w:rsidR="00844F99" w:rsidRPr="00D53AFE" w:rsidRDefault="00844F99" w:rsidP="00CD7EF7">
      <w:pPr>
        <w:spacing w:after="0" w:line="240" w:lineRule="auto"/>
        <w:jc w:val="both"/>
        <w:rPr>
          <w:bCs/>
          <w:sz w:val="22"/>
          <w:szCs w:val="22"/>
        </w:rPr>
      </w:pPr>
    </w:p>
    <w:p w14:paraId="1DE2F59B" w14:textId="4883A9D5" w:rsidR="00844F99" w:rsidRPr="00D53AFE" w:rsidRDefault="00844F99" w:rsidP="00CD7EF7">
      <w:pPr>
        <w:spacing w:after="0" w:line="240" w:lineRule="auto"/>
        <w:jc w:val="both"/>
        <w:rPr>
          <w:bCs/>
          <w:sz w:val="22"/>
          <w:szCs w:val="22"/>
        </w:rPr>
      </w:pPr>
      <w:r w:rsidRPr="00D53AFE">
        <w:rPr>
          <w:bCs/>
          <w:sz w:val="22"/>
          <w:szCs w:val="22"/>
        </w:rPr>
        <w:t xml:space="preserve">Once the investor has entered the Spanish territory and is holding a visa, s/he can apply for a </w:t>
      </w:r>
      <w:r w:rsidRPr="00D53AFE">
        <w:rPr>
          <w:b/>
          <w:bCs/>
          <w:sz w:val="22"/>
          <w:szCs w:val="22"/>
        </w:rPr>
        <w:t>residence authorisation for investors</w:t>
      </w:r>
      <w:r w:rsidRPr="00D53AFE">
        <w:rPr>
          <w:bCs/>
          <w:sz w:val="22"/>
          <w:szCs w:val="22"/>
        </w:rPr>
        <w:t>.</w:t>
      </w:r>
    </w:p>
    <w:p w14:paraId="416FF960" w14:textId="77777777" w:rsidR="00844F99" w:rsidRPr="00D53AFE" w:rsidRDefault="00844F99" w:rsidP="00CD7EF7">
      <w:pPr>
        <w:spacing w:after="0" w:line="240" w:lineRule="auto"/>
        <w:jc w:val="both"/>
        <w:rPr>
          <w:sz w:val="22"/>
          <w:szCs w:val="22"/>
        </w:rPr>
      </w:pPr>
    </w:p>
    <w:p w14:paraId="6519EACF" w14:textId="22A9F84D" w:rsidR="00913136" w:rsidRPr="00D53AFE" w:rsidRDefault="00913136" w:rsidP="00CD7EF7">
      <w:pPr>
        <w:spacing w:after="0" w:line="240" w:lineRule="auto"/>
        <w:jc w:val="both"/>
        <w:rPr>
          <w:i/>
          <w:sz w:val="22"/>
          <w:szCs w:val="22"/>
          <w:u w:val="single"/>
        </w:rPr>
      </w:pPr>
      <w:r w:rsidRPr="00D53AFE">
        <w:rPr>
          <w:i/>
          <w:sz w:val="22"/>
          <w:szCs w:val="22"/>
          <w:u w:val="single"/>
        </w:rPr>
        <w:t xml:space="preserve">Conditions and procedure for an investors’ residence authorisation </w:t>
      </w:r>
    </w:p>
    <w:p w14:paraId="358EB509" w14:textId="4B91E9C6" w:rsidR="00913136" w:rsidRPr="00D53AFE" w:rsidRDefault="00845380" w:rsidP="00CD7EF7">
      <w:pPr>
        <w:spacing w:after="0" w:line="240" w:lineRule="auto"/>
        <w:jc w:val="both"/>
        <w:rPr>
          <w:rFonts w:eastAsia="Times New Roman"/>
          <w:bCs/>
          <w:sz w:val="22"/>
          <w:szCs w:val="22"/>
          <w:lang w:eastAsia="fr-FR"/>
        </w:rPr>
      </w:pPr>
      <w:r w:rsidRPr="00D53AFE">
        <w:rPr>
          <w:sz w:val="22"/>
          <w:szCs w:val="22"/>
        </w:rPr>
        <w:t>To apply for an investors’ residence authorisation, a</w:t>
      </w:r>
      <w:r w:rsidR="00913136" w:rsidRPr="00D53AFE">
        <w:rPr>
          <w:sz w:val="22"/>
          <w:szCs w:val="22"/>
        </w:rPr>
        <w:t>part from the significant investment requirement, applicant</w:t>
      </w:r>
      <w:r w:rsidR="00C67261" w:rsidRPr="00D53AFE">
        <w:rPr>
          <w:sz w:val="22"/>
          <w:szCs w:val="22"/>
        </w:rPr>
        <w:t>s</w:t>
      </w:r>
      <w:r w:rsidR="00913136" w:rsidRPr="00D53AFE">
        <w:rPr>
          <w:sz w:val="22"/>
          <w:szCs w:val="22"/>
        </w:rPr>
        <w:t xml:space="preserve"> must meet </w:t>
      </w:r>
      <w:r w:rsidR="00314487" w:rsidRPr="00D53AFE">
        <w:rPr>
          <w:sz w:val="22"/>
          <w:szCs w:val="22"/>
        </w:rPr>
        <w:t>some</w:t>
      </w:r>
      <w:r w:rsidR="00913136" w:rsidRPr="00D53AFE">
        <w:rPr>
          <w:sz w:val="22"/>
          <w:szCs w:val="22"/>
        </w:rPr>
        <w:t xml:space="preserve"> general conditions</w:t>
      </w:r>
      <w:r w:rsidR="00913136" w:rsidRPr="00D53AFE">
        <w:rPr>
          <w:rFonts w:eastAsia="Times New Roman"/>
          <w:bCs/>
          <w:sz w:val="22"/>
          <w:szCs w:val="22"/>
          <w:lang w:eastAsia="fr-FR"/>
        </w:rPr>
        <w:t>:</w:t>
      </w:r>
      <w:r w:rsidR="00314487" w:rsidRPr="00D53AFE">
        <w:rPr>
          <w:rFonts w:eastAsia="Times New Roman"/>
          <w:b/>
          <w:bCs/>
          <w:sz w:val="22"/>
          <w:szCs w:val="22"/>
          <w:lang w:eastAsia="fr-FR"/>
        </w:rPr>
        <w:t xml:space="preserve"> </w:t>
      </w:r>
      <w:r w:rsidR="00314487" w:rsidRPr="00D53AFE">
        <w:rPr>
          <w:rFonts w:eastAsia="Times New Roman"/>
          <w:bCs/>
          <w:sz w:val="22"/>
          <w:szCs w:val="22"/>
          <w:lang w:eastAsia="fr-FR"/>
        </w:rPr>
        <w:t>n</w:t>
      </w:r>
      <w:r w:rsidR="00913136" w:rsidRPr="00D53AFE">
        <w:rPr>
          <w:rFonts w:eastAsia="Times New Roman"/>
          <w:bCs/>
          <w:sz w:val="22"/>
          <w:szCs w:val="22"/>
          <w:lang w:eastAsia="fr-FR"/>
        </w:rPr>
        <w:t>ot to be illegally in Spanish territory</w:t>
      </w:r>
      <w:r w:rsidR="00314487" w:rsidRPr="00D53AFE">
        <w:rPr>
          <w:rFonts w:eastAsia="Times New Roman"/>
          <w:bCs/>
          <w:sz w:val="22"/>
          <w:szCs w:val="22"/>
          <w:lang w:eastAsia="fr-FR"/>
        </w:rPr>
        <w:t>, t</w:t>
      </w:r>
      <w:r w:rsidR="00913136" w:rsidRPr="00D53AFE">
        <w:rPr>
          <w:rFonts w:eastAsia="Times New Roman"/>
          <w:bCs/>
          <w:sz w:val="22"/>
          <w:szCs w:val="22"/>
          <w:lang w:eastAsia="fr-FR"/>
        </w:rPr>
        <w:t>o be at least 18 years old</w:t>
      </w:r>
      <w:r w:rsidR="00314487" w:rsidRPr="00D53AFE">
        <w:rPr>
          <w:rFonts w:eastAsia="Times New Roman"/>
          <w:bCs/>
          <w:sz w:val="22"/>
          <w:szCs w:val="22"/>
          <w:lang w:eastAsia="fr-FR"/>
        </w:rPr>
        <w:t xml:space="preserve">, </w:t>
      </w:r>
      <w:bookmarkStart w:id="1" w:name="_Hlk517004958"/>
      <w:r w:rsidR="00314487" w:rsidRPr="00D53AFE">
        <w:rPr>
          <w:rFonts w:eastAsia="Times New Roman"/>
          <w:bCs/>
          <w:sz w:val="22"/>
          <w:szCs w:val="22"/>
          <w:lang w:eastAsia="fr-FR"/>
        </w:rPr>
        <w:t>n</w:t>
      </w:r>
      <w:r w:rsidR="00913136" w:rsidRPr="00D53AFE">
        <w:rPr>
          <w:rFonts w:eastAsia="Times New Roman"/>
          <w:bCs/>
          <w:sz w:val="22"/>
          <w:szCs w:val="22"/>
          <w:lang w:eastAsia="fr-FR"/>
        </w:rPr>
        <w:t>ot to have a criminal record</w:t>
      </w:r>
      <w:r w:rsidR="00314487" w:rsidRPr="00D53AFE">
        <w:rPr>
          <w:rFonts w:eastAsia="Times New Roman"/>
          <w:bCs/>
          <w:sz w:val="22"/>
          <w:szCs w:val="22"/>
          <w:lang w:eastAsia="fr-FR"/>
        </w:rPr>
        <w:t xml:space="preserve">, </w:t>
      </w:r>
      <w:bookmarkEnd w:id="1"/>
      <w:r w:rsidR="00314487" w:rsidRPr="00D53AFE">
        <w:rPr>
          <w:rFonts w:eastAsia="Times New Roman"/>
          <w:bCs/>
          <w:sz w:val="22"/>
          <w:szCs w:val="22"/>
          <w:lang w:eastAsia="fr-FR"/>
        </w:rPr>
        <w:t>n</w:t>
      </w:r>
      <w:r w:rsidR="00913136" w:rsidRPr="00D53AFE">
        <w:rPr>
          <w:rFonts w:eastAsia="Times New Roman"/>
          <w:bCs/>
          <w:sz w:val="22"/>
          <w:szCs w:val="22"/>
          <w:lang w:eastAsia="fr-FR"/>
        </w:rPr>
        <w:t xml:space="preserve">ot to appear as rejected in the territorial area of countries with </w:t>
      </w:r>
      <w:r w:rsidR="00913136" w:rsidRPr="00D53AFE">
        <w:rPr>
          <w:rFonts w:eastAsia="Times New Roman"/>
          <w:bCs/>
          <w:sz w:val="22"/>
          <w:szCs w:val="22"/>
          <w:lang w:eastAsia="fr-FR"/>
        </w:rPr>
        <w:lastRenderedPageBreak/>
        <w:t>which Spain has signed an agreement in this regard</w:t>
      </w:r>
      <w:r w:rsidR="00314487" w:rsidRPr="00D53AFE">
        <w:rPr>
          <w:rFonts w:eastAsia="Times New Roman"/>
          <w:bCs/>
          <w:sz w:val="22"/>
          <w:szCs w:val="22"/>
          <w:lang w:eastAsia="fr-FR"/>
        </w:rPr>
        <w:t>, t</w:t>
      </w:r>
      <w:r w:rsidR="00913136" w:rsidRPr="00D53AFE">
        <w:rPr>
          <w:rFonts w:eastAsia="Times New Roman"/>
          <w:bCs/>
          <w:sz w:val="22"/>
          <w:szCs w:val="22"/>
          <w:lang w:eastAsia="fr-FR"/>
        </w:rPr>
        <w:t>o have a public insurance or private health insurance arranged with an insurance company authorised to operate in Spain</w:t>
      </w:r>
      <w:r w:rsidR="00314487" w:rsidRPr="00D53AFE">
        <w:rPr>
          <w:rFonts w:eastAsia="Times New Roman"/>
          <w:bCs/>
          <w:sz w:val="22"/>
          <w:szCs w:val="22"/>
          <w:lang w:eastAsia="fr-FR"/>
        </w:rPr>
        <w:t>, t</w:t>
      </w:r>
      <w:r w:rsidR="00913136" w:rsidRPr="00D53AFE">
        <w:rPr>
          <w:rFonts w:eastAsia="Times New Roman"/>
          <w:bCs/>
          <w:sz w:val="22"/>
          <w:szCs w:val="22"/>
          <w:lang w:eastAsia="fr-FR"/>
        </w:rPr>
        <w:t>o have sufficient financial resources for themselves and their family members during their period of residence in Spain</w:t>
      </w:r>
      <w:r w:rsidR="00314487" w:rsidRPr="00D53AFE">
        <w:rPr>
          <w:rFonts w:eastAsia="Times New Roman"/>
          <w:bCs/>
          <w:sz w:val="22"/>
          <w:szCs w:val="22"/>
          <w:lang w:eastAsia="fr-FR"/>
        </w:rPr>
        <w:t>, t</w:t>
      </w:r>
      <w:r w:rsidR="00913136" w:rsidRPr="00D53AFE">
        <w:rPr>
          <w:rFonts w:eastAsia="Times New Roman"/>
          <w:bCs/>
          <w:sz w:val="22"/>
          <w:szCs w:val="22"/>
          <w:lang w:eastAsia="fr-FR"/>
        </w:rPr>
        <w:t xml:space="preserve">o pay </w:t>
      </w:r>
      <w:r w:rsidR="00314487" w:rsidRPr="00D53AFE">
        <w:rPr>
          <w:rFonts w:eastAsia="Times New Roman"/>
          <w:bCs/>
          <w:sz w:val="22"/>
          <w:szCs w:val="22"/>
          <w:lang w:eastAsia="fr-FR"/>
        </w:rPr>
        <w:t>a fee of</w:t>
      </w:r>
      <w:r w:rsidR="00913136" w:rsidRPr="00D53AFE">
        <w:rPr>
          <w:rFonts w:eastAsia="Times New Roman"/>
          <w:bCs/>
          <w:sz w:val="22"/>
          <w:szCs w:val="22"/>
          <w:lang w:eastAsia="fr-FR"/>
        </w:rPr>
        <w:t xml:space="preserve"> EUR 70</w:t>
      </w:r>
      <w:r w:rsidR="00314487" w:rsidRPr="00D53AFE">
        <w:rPr>
          <w:rFonts w:eastAsia="Times New Roman"/>
          <w:bCs/>
          <w:sz w:val="22"/>
          <w:szCs w:val="22"/>
          <w:lang w:eastAsia="fr-FR"/>
        </w:rPr>
        <w:t>.</w:t>
      </w:r>
      <w:r w:rsidR="00913136" w:rsidRPr="00D53AFE">
        <w:rPr>
          <w:rFonts w:eastAsia="Times New Roman"/>
          <w:bCs/>
          <w:sz w:val="22"/>
          <w:szCs w:val="22"/>
          <w:lang w:eastAsia="fr-FR"/>
        </w:rPr>
        <w:t>40</w:t>
      </w:r>
      <w:r w:rsidR="00314487" w:rsidRPr="00D53AFE">
        <w:rPr>
          <w:rFonts w:eastAsia="Times New Roman"/>
          <w:bCs/>
          <w:sz w:val="22"/>
          <w:szCs w:val="22"/>
          <w:lang w:eastAsia="fr-FR"/>
        </w:rPr>
        <w:t xml:space="preserve"> and t</w:t>
      </w:r>
      <w:r w:rsidR="00913136" w:rsidRPr="00D53AFE">
        <w:rPr>
          <w:rFonts w:eastAsia="Times New Roman"/>
          <w:bCs/>
          <w:sz w:val="22"/>
          <w:szCs w:val="22"/>
          <w:lang w:eastAsia="fr-FR"/>
        </w:rPr>
        <w:t>o fulfil the obligations established by Law 10/2010, of April 28, on the prevention of money laundering and the financing of terrorism and the corresponding Social Security or tax obligations.</w:t>
      </w:r>
    </w:p>
    <w:p w14:paraId="4AE891FB" w14:textId="38CB1592" w:rsidR="00844F99" w:rsidRPr="00D53AFE" w:rsidRDefault="00844F99" w:rsidP="00CD7EF7">
      <w:pPr>
        <w:spacing w:after="0" w:line="240" w:lineRule="auto"/>
        <w:jc w:val="both"/>
        <w:rPr>
          <w:i/>
          <w:sz w:val="22"/>
          <w:szCs w:val="22"/>
        </w:rPr>
      </w:pPr>
    </w:p>
    <w:p w14:paraId="30EEA06F" w14:textId="5263A315" w:rsidR="00FB3209" w:rsidRPr="00D53AFE" w:rsidRDefault="00913136" w:rsidP="00CD7EF7">
      <w:pPr>
        <w:spacing w:after="0" w:line="240" w:lineRule="auto"/>
        <w:jc w:val="both"/>
        <w:rPr>
          <w:bCs/>
          <w:sz w:val="22"/>
          <w:szCs w:val="22"/>
        </w:rPr>
      </w:pPr>
      <w:r w:rsidRPr="00D53AFE">
        <w:rPr>
          <w:sz w:val="22"/>
          <w:szCs w:val="22"/>
        </w:rPr>
        <w:t>In addition, if the applicant</w:t>
      </w:r>
      <w:r w:rsidR="00E07C53" w:rsidRPr="00D53AFE">
        <w:rPr>
          <w:sz w:val="22"/>
          <w:szCs w:val="22"/>
        </w:rPr>
        <w:t xml:space="preserve"> </w:t>
      </w:r>
      <w:r w:rsidRPr="00D53AFE">
        <w:rPr>
          <w:sz w:val="22"/>
          <w:szCs w:val="22"/>
        </w:rPr>
        <w:t>holds an investors’ residence visa,</w:t>
      </w:r>
      <w:r w:rsidR="00FB3209" w:rsidRPr="00D53AFE">
        <w:rPr>
          <w:sz w:val="22"/>
          <w:szCs w:val="22"/>
        </w:rPr>
        <w:t xml:space="preserve"> the</w:t>
      </w:r>
      <w:r w:rsidR="008F47D4" w:rsidRPr="00D53AFE">
        <w:rPr>
          <w:sz w:val="22"/>
          <w:szCs w:val="22"/>
        </w:rPr>
        <w:t xml:space="preserve"> application for the investors’ residence authorisation must be filed within the</w:t>
      </w:r>
      <w:r w:rsidR="00E07C53" w:rsidRPr="00D53AFE">
        <w:rPr>
          <w:sz w:val="22"/>
          <w:szCs w:val="22"/>
        </w:rPr>
        <w:t xml:space="preserve"> visa’s</w:t>
      </w:r>
      <w:r w:rsidR="008F47D4" w:rsidRPr="00D53AFE">
        <w:rPr>
          <w:sz w:val="22"/>
          <w:szCs w:val="22"/>
        </w:rPr>
        <w:t xml:space="preserve"> </w:t>
      </w:r>
      <w:r w:rsidR="00156D45" w:rsidRPr="00D53AFE">
        <w:rPr>
          <w:sz w:val="22"/>
          <w:szCs w:val="22"/>
        </w:rPr>
        <w:t xml:space="preserve">validity </w:t>
      </w:r>
      <w:r w:rsidR="008F47D4" w:rsidRPr="00D53AFE">
        <w:rPr>
          <w:sz w:val="22"/>
          <w:szCs w:val="22"/>
        </w:rPr>
        <w:t xml:space="preserve">period or </w:t>
      </w:r>
      <w:r w:rsidR="00FB3209" w:rsidRPr="00D53AFE">
        <w:rPr>
          <w:sz w:val="22"/>
          <w:szCs w:val="22"/>
        </w:rPr>
        <w:t xml:space="preserve">within 90 days </w:t>
      </w:r>
      <w:r w:rsidR="00E07C53" w:rsidRPr="00D53AFE">
        <w:rPr>
          <w:sz w:val="22"/>
          <w:szCs w:val="22"/>
        </w:rPr>
        <w:t xml:space="preserve">of </w:t>
      </w:r>
      <w:r w:rsidR="008F47D4" w:rsidRPr="00D53AFE">
        <w:rPr>
          <w:sz w:val="22"/>
          <w:szCs w:val="22"/>
        </w:rPr>
        <w:t>its expiration</w:t>
      </w:r>
      <w:r w:rsidR="00FB3209" w:rsidRPr="00D53AFE">
        <w:rPr>
          <w:bCs/>
          <w:sz w:val="22"/>
          <w:szCs w:val="22"/>
        </w:rPr>
        <w:t>.</w:t>
      </w:r>
    </w:p>
    <w:p w14:paraId="2EF8B412" w14:textId="77777777" w:rsidR="00FB3209" w:rsidRPr="00D53AFE" w:rsidRDefault="00FB3209" w:rsidP="00CD7EF7">
      <w:pPr>
        <w:spacing w:after="0" w:line="240" w:lineRule="auto"/>
        <w:jc w:val="both"/>
        <w:rPr>
          <w:bCs/>
          <w:sz w:val="22"/>
          <w:szCs w:val="22"/>
        </w:rPr>
      </w:pPr>
    </w:p>
    <w:p w14:paraId="20D17BFA" w14:textId="6DCE4276" w:rsidR="00FB3209" w:rsidRPr="00D53AFE" w:rsidRDefault="00FB3209" w:rsidP="00CD7EF7">
      <w:pPr>
        <w:spacing w:after="0" w:line="240" w:lineRule="auto"/>
        <w:jc w:val="both"/>
        <w:rPr>
          <w:bCs/>
          <w:sz w:val="22"/>
          <w:szCs w:val="22"/>
        </w:rPr>
      </w:pPr>
      <w:r w:rsidRPr="00D53AFE">
        <w:rPr>
          <w:bCs/>
          <w:sz w:val="22"/>
          <w:szCs w:val="22"/>
        </w:rPr>
        <w:t xml:space="preserve">The </w:t>
      </w:r>
      <w:r w:rsidRPr="00D53AFE">
        <w:rPr>
          <w:b/>
          <w:bCs/>
          <w:sz w:val="22"/>
          <w:szCs w:val="22"/>
        </w:rPr>
        <w:t>application</w:t>
      </w:r>
      <w:r w:rsidRPr="00D53AFE">
        <w:rPr>
          <w:bCs/>
          <w:sz w:val="22"/>
          <w:szCs w:val="22"/>
        </w:rPr>
        <w:t xml:space="preserve"> for a residence authorisation for investors may be </w:t>
      </w:r>
      <w:r w:rsidRPr="00D53AFE">
        <w:rPr>
          <w:b/>
          <w:bCs/>
          <w:sz w:val="22"/>
          <w:szCs w:val="22"/>
        </w:rPr>
        <w:t>lodged by</w:t>
      </w:r>
      <w:r w:rsidRPr="00D53AFE">
        <w:rPr>
          <w:bCs/>
          <w:sz w:val="22"/>
          <w:szCs w:val="22"/>
        </w:rPr>
        <w:t xml:space="preserve"> the investors themselves or with their spouse or by an appointed representative (when the significant investment consists in a business project of general interest).</w:t>
      </w:r>
      <w:r w:rsidR="00E91071" w:rsidRPr="00D53AFE">
        <w:rPr>
          <w:bCs/>
          <w:sz w:val="22"/>
          <w:szCs w:val="22"/>
        </w:rPr>
        <w:t xml:space="preserve"> The </w:t>
      </w:r>
      <w:r w:rsidR="00E91071" w:rsidRPr="00D53AFE">
        <w:rPr>
          <w:b/>
          <w:bCs/>
          <w:sz w:val="22"/>
          <w:szCs w:val="22"/>
        </w:rPr>
        <w:t>processing</w:t>
      </w:r>
      <w:r w:rsidR="00E91071" w:rsidRPr="00D53AFE">
        <w:rPr>
          <w:bCs/>
          <w:sz w:val="22"/>
          <w:szCs w:val="22"/>
        </w:rPr>
        <w:t xml:space="preserve"> of the application may be done through the </w:t>
      </w:r>
      <w:r w:rsidR="00E91071" w:rsidRPr="00D53AFE">
        <w:rPr>
          <w:b/>
          <w:bCs/>
          <w:sz w:val="22"/>
          <w:szCs w:val="22"/>
        </w:rPr>
        <w:t>electronic platform</w:t>
      </w:r>
      <w:r w:rsidR="00E91071" w:rsidRPr="00D53AFE">
        <w:rPr>
          <w:bCs/>
          <w:sz w:val="22"/>
          <w:szCs w:val="22"/>
        </w:rPr>
        <w:t xml:space="preserve"> created by the MESS.</w:t>
      </w:r>
      <w:r w:rsidR="00C71EA1" w:rsidRPr="00D53AFE">
        <w:rPr>
          <w:bCs/>
          <w:sz w:val="22"/>
          <w:szCs w:val="22"/>
          <w:vertAlign w:val="superscript"/>
        </w:rPr>
        <w:footnoteReference w:id="17"/>
      </w:r>
      <w:r w:rsidR="00140587" w:rsidRPr="00D53AFE">
        <w:rPr>
          <w:bCs/>
          <w:sz w:val="22"/>
          <w:szCs w:val="22"/>
        </w:rPr>
        <w:t xml:space="preserve"> The DGM must take a </w:t>
      </w:r>
      <w:r w:rsidR="00140587" w:rsidRPr="00D53AFE">
        <w:rPr>
          <w:b/>
          <w:bCs/>
          <w:sz w:val="22"/>
          <w:szCs w:val="22"/>
        </w:rPr>
        <w:t>decision</w:t>
      </w:r>
      <w:r w:rsidR="00140587" w:rsidRPr="00D53AFE">
        <w:rPr>
          <w:bCs/>
          <w:sz w:val="22"/>
          <w:szCs w:val="22"/>
        </w:rPr>
        <w:t xml:space="preserve"> and notify it to the applicant within </w:t>
      </w:r>
      <w:r w:rsidR="00140587" w:rsidRPr="00D53AFE">
        <w:rPr>
          <w:b/>
          <w:bCs/>
          <w:sz w:val="22"/>
          <w:szCs w:val="22"/>
        </w:rPr>
        <w:t>20 days from the submission</w:t>
      </w:r>
      <w:r w:rsidR="00140587" w:rsidRPr="00D53AFE">
        <w:rPr>
          <w:bCs/>
          <w:sz w:val="22"/>
          <w:szCs w:val="22"/>
        </w:rPr>
        <w:t xml:space="preserve"> of the application. If no decision is taken and notified within this period, the authorisation must be considered as granted. The resolution must be </w:t>
      </w:r>
      <w:r w:rsidR="00140587" w:rsidRPr="00D53AFE">
        <w:rPr>
          <w:b/>
          <w:bCs/>
          <w:sz w:val="22"/>
          <w:szCs w:val="22"/>
        </w:rPr>
        <w:t>reasoned</w:t>
      </w:r>
      <w:r w:rsidR="00140587" w:rsidRPr="00D53AFE">
        <w:rPr>
          <w:bCs/>
          <w:sz w:val="22"/>
          <w:szCs w:val="22"/>
        </w:rPr>
        <w:t>.</w:t>
      </w:r>
    </w:p>
    <w:p w14:paraId="1F8DEDAE" w14:textId="77777777" w:rsidR="00FB3209" w:rsidRPr="00D53AFE" w:rsidRDefault="00FB3209" w:rsidP="00CD7EF7">
      <w:pPr>
        <w:spacing w:after="0" w:line="240" w:lineRule="auto"/>
        <w:jc w:val="both"/>
        <w:rPr>
          <w:bCs/>
          <w:sz w:val="22"/>
          <w:szCs w:val="22"/>
        </w:rPr>
      </w:pPr>
    </w:p>
    <w:p w14:paraId="2FB5F2AA" w14:textId="223FC79F" w:rsidR="00ED5790" w:rsidRPr="00D53AFE" w:rsidRDefault="00FB3209" w:rsidP="00CD7EF7">
      <w:pPr>
        <w:spacing w:after="0" w:line="240" w:lineRule="auto"/>
        <w:jc w:val="both"/>
        <w:rPr>
          <w:bCs/>
          <w:sz w:val="22"/>
          <w:szCs w:val="22"/>
        </w:rPr>
      </w:pPr>
      <w:r w:rsidRPr="00D53AFE">
        <w:rPr>
          <w:sz w:val="22"/>
          <w:szCs w:val="22"/>
        </w:rPr>
        <w:t xml:space="preserve">If the application for a </w:t>
      </w:r>
      <w:r w:rsidRPr="00D53AFE">
        <w:rPr>
          <w:b/>
          <w:sz w:val="22"/>
          <w:szCs w:val="22"/>
        </w:rPr>
        <w:t>residence authorisation for investors</w:t>
      </w:r>
      <w:r w:rsidRPr="00D53AFE">
        <w:rPr>
          <w:sz w:val="22"/>
          <w:szCs w:val="22"/>
        </w:rPr>
        <w:t xml:space="preserve"> is approved and the authorisation </w:t>
      </w:r>
      <w:r w:rsidRPr="00D53AFE">
        <w:rPr>
          <w:b/>
          <w:sz w:val="22"/>
          <w:szCs w:val="22"/>
        </w:rPr>
        <w:t>issued</w:t>
      </w:r>
      <w:r w:rsidRPr="00D53AFE">
        <w:rPr>
          <w:sz w:val="22"/>
          <w:szCs w:val="22"/>
        </w:rPr>
        <w:t xml:space="preserve">, the investor has the right to </w:t>
      </w:r>
      <w:r w:rsidRPr="00D53AFE">
        <w:rPr>
          <w:b/>
          <w:sz w:val="22"/>
          <w:szCs w:val="22"/>
        </w:rPr>
        <w:t>reside and work</w:t>
      </w:r>
      <w:r w:rsidRPr="00D53AFE">
        <w:rPr>
          <w:sz w:val="22"/>
          <w:szCs w:val="22"/>
        </w:rPr>
        <w:t xml:space="preserve"> in Spain for </w:t>
      </w:r>
      <w:r w:rsidRPr="00D53AFE">
        <w:rPr>
          <w:b/>
          <w:sz w:val="22"/>
          <w:szCs w:val="22"/>
        </w:rPr>
        <w:t>two years</w:t>
      </w:r>
      <w:r w:rsidRPr="00D53AFE">
        <w:rPr>
          <w:sz w:val="22"/>
          <w:szCs w:val="22"/>
        </w:rPr>
        <w:t xml:space="preserve">. </w:t>
      </w:r>
      <w:r w:rsidR="00ED5790" w:rsidRPr="00D53AFE">
        <w:rPr>
          <w:bCs/>
          <w:sz w:val="22"/>
          <w:szCs w:val="22"/>
        </w:rPr>
        <w:t xml:space="preserve">The </w:t>
      </w:r>
      <w:r w:rsidR="00ED5790" w:rsidRPr="00D53AFE">
        <w:rPr>
          <w:b/>
          <w:bCs/>
          <w:sz w:val="22"/>
          <w:szCs w:val="22"/>
        </w:rPr>
        <w:t>application</w:t>
      </w:r>
      <w:r w:rsidR="00ED5790" w:rsidRPr="00D53AFE">
        <w:rPr>
          <w:bCs/>
          <w:sz w:val="22"/>
          <w:szCs w:val="22"/>
        </w:rPr>
        <w:t xml:space="preserve"> for </w:t>
      </w:r>
      <w:r w:rsidR="00ED5790" w:rsidRPr="00D53AFE">
        <w:rPr>
          <w:b/>
          <w:bCs/>
          <w:sz w:val="22"/>
          <w:szCs w:val="22"/>
        </w:rPr>
        <w:t xml:space="preserve">renewal </w:t>
      </w:r>
      <w:r w:rsidR="00ED5790" w:rsidRPr="00D53AFE">
        <w:rPr>
          <w:bCs/>
          <w:sz w:val="22"/>
          <w:szCs w:val="22"/>
        </w:rPr>
        <w:t xml:space="preserve">must be </w:t>
      </w:r>
      <w:r w:rsidR="00ED5790" w:rsidRPr="00D53AFE">
        <w:rPr>
          <w:b/>
          <w:bCs/>
          <w:sz w:val="22"/>
          <w:szCs w:val="22"/>
        </w:rPr>
        <w:t>filed</w:t>
      </w:r>
      <w:r w:rsidR="00ED5790" w:rsidRPr="00D53AFE">
        <w:rPr>
          <w:bCs/>
          <w:sz w:val="22"/>
          <w:szCs w:val="22"/>
        </w:rPr>
        <w:t xml:space="preserve"> within the period of validity of the existing residence authorisation or in the 90 days after this period of validity has expired.</w:t>
      </w:r>
      <w:r w:rsidR="00845380" w:rsidRPr="00D53AFE">
        <w:rPr>
          <w:bCs/>
          <w:sz w:val="22"/>
          <w:szCs w:val="22"/>
        </w:rPr>
        <w:t xml:space="preserve"> </w:t>
      </w:r>
      <w:r w:rsidR="00ED5790" w:rsidRPr="00D53AFE">
        <w:rPr>
          <w:bCs/>
          <w:sz w:val="22"/>
          <w:szCs w:val="22"/>
        </w:rPr>
        <w:t xml:space="preserve">For the renewal of the investors’ residence authorisation </w:t>
      </w:r>
      <w:r w:rsidR="00ED5790" w:rsidRPr="00D53AFE">
        <w:rPr>
          <w:b/>
          <w:bCs/>
          <w:sz w:val="22"/>
          <w:szCs w:val="22"/>
        </w:rPr>
        <w:t>the legal conditions that justified the issuance of the residence authorisation the first time</w:t>
      </w:r>
      <w:r w:rsidR="00C67261" w:rsidRPr="00D53AFE">
        <w:rPr>
          <w:b/>
          <w:bCs/>
          <w:sz w:val="22"/>
          <w:szCs w:val="22"/>
        </w:rPr>
        <w:t xml:space="preserve"> must</w:t>
      </w:r>
      <w:r w:rsidR="00ED5790" w:rsidRPr="00D53AFE">
        <w:rPr>
          <w:b/>
          <w:bCs/>
          <w:sz w:val="22"/>
          <w:szCs w:val="22"/>
        </w:rPr>
        <w:t xml:space="preserve"> continue to exist.</w:t>
      </w:r>
      <w:r w:rsidR="00ED5790" w:rsidRPr="00D53AFE">
        <w:rPr>
          <w:bCs/>
          <w:sz w:val="22"/>
          <w:szCs w:val="22"/>
        </w:rPr>
        <w:t xml:space="preserve"> </w:t>
      </w:r>
      <w:r w:rsidR="00C71EA1" w:rsidRPr="00D53AFE">
        <w:rPr>
          <w:bCs/>
          <w:sz w:val="22"/>
          <w:szCs w:val="22"/>
        </w:rPr>
        <w:t>T</w:t>
      </w:r>
      <w:r w:rsidR="00ED5790" w:rsidRPr="00D53AFE">
        <w:rPr>
          <w:bCs/>
          <w:sz w:val="22"/>
          <w:szCs w:val="22"/>
        </w:rPr>
        <w:t xml:space="preserve">he </w:t>
      </w:r>
      <w:r w:rsidR="00ED5790" w:rsidRPr="00D53AFE">
        <w:rPr>
          <w:b/>
          <w:bCs/>
          <w:sz w:val="22"/>
          <w:szCs w:val="22"/>
        </w:rPr>
        <w:t xml:space="preserve">renewal procedure follows the same procedural steps </w:t>
      </w:r>
      <w:r w:rsidR="00C67261" w:rsidRPr="00D53AFE">
        <w:rPr>
          <w:b/>
          <w:bCs/>
          <w:sz w:val="22"/>
          <w:szCs w:val="22"/>
        </w:rPr>
        <w:t>as</w:t>
      </w:r>
      <w:r w:rsidR="00ED5790" w:rsidRPr="00D53AFE">
        <w:rPr>
          <w:b/>
          <w:bCs/>
          <w:sz w:val="22"/>
          <w:szCs w:val="22"/>
        </w:rPr>
        <w:t xml:space="preserve"> the first-time application</w:t>
      </w:r>
      <w:r w:rsidR="006B2D79" w:rsidRPr="00D53AFE">
        <w:rPr>
          <w:bCs/>
          <w:sz w:val="22"/>
          <w:szCs w:val="22"/>
        </w:rPr>
        <w:t xml:space="preserve">. </w:t>
      </w:r>
      <w:r w:rsidR="00ED5790" w:rsidRPr="00D53AFE">
        <w:rPr>
          <w:bCs/>
          <w:sz w:val="22"/>
          <w:szCs w:val="22"/>
        </w:rPr>
        <w:t xml:space="preserve">If the </w:t>
      </w:r>
      <w:r w:rsidR="00ED5790" w:rsidRPr="00D53AFE">
        <w:rPr>
          <w:b/>
          <w:bCs/>
          <w:sz w:val="22"/>
          <w:szCs w:val="22"/>
        </w:rPr>
        <w:t>renewal is granted</w:t>
      </w:r>
      <w:r w:rsidR="00ED5790" w:rsidRPr="00D53AFE">
        <w:rPr>
          <w:bCs/>
          <w:sz w:val="22"/>
          <w:szCs w:val="22"/>
        </w:rPr>
        <w:t xml:space="preserve">, the </w:t>
      </w:r>
      <w:r w:rsidR="00ED5790" w:rsidRPr="00D53AFE">
        <w:rPr>
          <w:b/>
          <w:bCs/>
          <w:sz w:val="22"/>
          <w:szCs w:val="22"/>
        </w:rPr>
        <w:t>duration</w:t>
      </w:r>
      <w:r w:rsidR="00ED5790" w:rsidRPr="00D53AFE">
        <w:rPr>
          <w:bCs/>
          <w:sz w:val="22"/>
          <w:szCs w:val="22"/>
        </w:rPr>
        <w:t xml:space="preserve"> of the </w:t>
      </w:r>
      <w:r w:rsidR="00ED5790" w:rsidRPr="00D53AFE">
        <w:rPr>
          <w:b/>
          <w:bCs/>
          <w:sz w:val="22"/>
          <w:szCs w:val="22"/>
        </w:rPr>
        <w:t>new residence</w:t>
      </w:r>
      <w:r w:rsidR="00ED5790" w:rsidRPr="00D53AFE">
        <w:rPr>
          <w:bCs/>
          <w:sz w:val="22"/>
          <w:szCs w:val="22"/>
        </w:rPr>
        <w:t xml:space="preserve"> </w:t>
      </w:r>
      <w:r w:rsidR="00ED5790" w:rsidRPr="00D53AFE">
        <w:rPr>
          <w:b/>
          <w:bCs/>
          <w:sz w:val="22"/>
          <w:szCs w:val="22"/>
        </w:rPr>
        <w:t>authorisation</w:t>
      </w:r>
      <w:r w:rsidR="00ED5790" w:rsidRPr="00D53AFE">
        <w:rPr>
          <w:bCs/>
          <w:sz w:val="22"/>
          <w:szCs w:val="22"/>
        </w:rPr>
        <w:t xml:space="preserve"> is of </w:t>
      </w:r>
      <w:r w:rsidR="00ED5790" w:rsidRPr="00D53AFE">
        <w:rPr>
          <w:b/>
          <w:bCs/>
          <w:sz w:val="22"/>
          <w:szCs w:val="22"/>
        </w:rPr>
        <w:t>five years</w:t>
      </w:r>
      <w:r w:rsidR="00ED5790" w:rsidRPr="00D53AFE">
        <w:rPr>
          <w:bCs/>
          <w:sz w:val="22"/>
          <w:szCs w:val="22"/>
        </w:rPr>
        <w:t>.</w:t>
      </w:r>
      <w:r w:rsidR="00C04A3A" w:rsidRPr="00D53AFE">
        <w:rPr>
          <w:bCs/>
          <w:sz w:val="22"/>
          <w:szCs w:val="22"/>
        </w:rPr>
        <w:t xml:space="preserve"> </w:t>
      </w:r>
      <w:r w:rsidR="00ED5790" w:rsidRPr="00D53AFE">
        <w:rPr>
          <w:bCs/>
          <w:sz w:val="22"/>
          <w:szCs w:val="22"/>
        </w:rPr>
        <w:t xml:space="preserve">The application for a renewal of the investors’ residence authorisation </w:t>
      </w:r>
      <w:r w:rsidR="00ED5790" w:rsidRPr="00D53AFE">
        <w:rPr>
          <w:b/>
          <w:bCs/>
          <w:sz w:val="22"/>
          <w:szCs w:val="22"/>
        </w:rPr>
        <w:t>extends the validity of the existing authorisation until the renewal procedures are completed</w:t>
      </w:r>
      <w:r w:rsidR="00ED5790" w:rsidRPr="00D53AFE">
        <w:rPr>
          <w:bCs/>
          <w:sz w:val="22"/>
          <w:szCs w:val="22"/>
        </w:rPr>
        <w:t>.</w:t>
      </w:r>
      <w:r w:rsidR="00C71EA1" w:rsidRPr="00D53AFE">
        <w:rPr>
          <w:bCs/>
          <w:sz w:val="22"/>
          <w:szCs w:val="22"/>
          <w:vertAlign w:val="superscript"/>
        </w:rPr>
        <w:footnoteReference w:id="18"/>
      </w:r>
      <w:r w:rsidR="00C71EA1" w:rsidRPr="00D53AFE">
        <w:rPr>
          <w:bCs/>
          <w:sz w:val="22"/>
          <w:szCs w:val="22"/>
        </w:rPr>
        <w:t xml:space="preserve"> </w:t>
      </w:r>
    </w:p>
    <w:p w14:paraId="7CD2A9DA" w14:textId="7953D989" w:rsidR="00913136" w:rsidRPr="00D53AFE" w:rsidRDefault="00913136" w:rsidP="00CD7EF7">
      <w:pPr>
        <w:spacing w:after="0" w:line="240" w:lineRule="auto"/>
        <w:jc w:val="both"/>
        <w:rPr>
          <w:i/>
          <w:sz w:val="22"/>
          <w:szCs w:val="22"/>
        </w:rPr>
      </w:pPr>
    </w:p>
    <w:p w14:paraId="448359A0" w14:textId="7B8FDF26" w:rsidR="00845380" w:rsidRPr="00D53AFE" w:rsidRDefault="00140587" w:rsidP="00CD7EF7">
      <w:pPr>
        <w:spacing w:after="0" w:line="240" w:lineRule="auto"/>
        <w:jc w:val="both"/>
        <w:rPr>
          <w:bCs/>
          <w:sz w:val="22"/>
          <w:szCs w:val="22"/>
        </w:rPr>
      </w:pPr>
      <w:r w:rsidRPr="00D53AFE">
        <w:rPr>
          <w:bCs/>
          <w:sz w:val="22"/>
          <w:szCs w:val="22"/>
        </w:rPr>
        <w:t>T</w:t>
      </w:r>
      <w:r w:rsidR="00845380" w:rsidRPr="00D53AFE">
        <w:rPr>
          <w:bCs/>
          <w:sz w:val="22"/>
          <w:szCs w:val="22"/>
        </w:rPr>
        <w:t xml:space="preserve">he applicant </w:t>
      </w:r>
      <w:r w:rsidR="00C67261" w:rsidRPr="00D53AFE">
        <w:rPr>
          <w:bCs/>
          <w:sz w:val="22"/>
          <w:szCs w:val="22"/>
        </w:rPr>
        <w:t>must</w:t>
      </w:r>
      <w:r w:rsidR="00845380" w:rsidRPr="00D53AFE">
        <w:rPr>
          <w:bCs/>
          <w:sz w:val="22"/>
          <w:szCs w:val="22"/>
        </w:rPr>
        <w:t xml:space="preserve"> be </w:t>
      </w:r>
      <w:r w:rsidR="00845380" w:rsidRPr="00D53AFE">
        <w:rPr>
          <w:b/>
          <w:bCs/>
          <w:sz w:val="22"/>
          <w:szCs w:val="22"/>
        </w:rPr>
        <w:t>physically present in Spain</w:t>
      </w:r>
      <w:r w:rsidRPr="00D53AFE">
        <w:rPr>
          <w:bCs/>
          <w:sz w:val="22"/>
          <w:szCs w:val="22"/>
        </w:rPr>
        <w:t>, including</w:t>
      </w:r>
      <w:r w:rsidR="00845380" w:rsidRPr="00D53AFE">
        <w:rPr>
          <w:bCs/>
          <w:sz w:val="22"/>
          <w:szCs w:val="22"/>
        </w:rPr>
        <w:t xml:space="preserve"> during the validity of the authorisation as, although the renewal of the investors’ residence authorisation is also</w:t>
      </w:r>
      <w:r w:rsidR="00845380" w:rsidRPr="00D53AFE">
        <w:rPr>
          <w:b/>
          <w:bCs/>
          <w:sz w:val="22"/>
          <w:szCs w:val="22"/>
        </w:rPr>
        <w:t xml:space="preserve"> possible if the investor has been absent from the Spanish territory for more than six months a year</w:t>
      </w:r>
      <w:r w:rsidR="00845380" w:rsidRPr="00D53AFE">
        <w:rPr>
          <w:bCs/>
          <w:sz w:val="22"/>
          <w:szCs w:val="22"/>
        </w:rPr>
        <w:t xml:space="preserve">, for the rest of the period of validity, the applicant must be </w:t>
      </w:r>
      <w:r w:rsidR="00845380" w:rsidRPr="00D53AFE">
        <w:rPr>
          <w:b/>
          <w:bCs/>
          <w:sz w:val="22"/>
          <w:szCs w:val="22"/>
        </w:rPr>
        <w:t>physically in Spain</w:t>
      </w:r>
      <w:r w:rsidR="00845380" w:rsidRPr="00D53AFE">
        <w:rPr>
          <w:bCs/>
          <w:sz w:val="22"/>
          <w:szCs w:val="22"/>
        </w:rPr>
        <w:t xml:space="preserve">. This possibly creates a loophole for investors who invest in real estate, when the authorisation is just issued for six months if the purchase has not been formalised at the time of filing the application but a pre-contract exists. In this case, the renewal can take place without the investor </w:t>
      </w:r>
      <w:r w:rsidR="00C67261" w:rsidRPr="00D53AFE">
        <w:rPr>
          <w:bCs/>
          <w:sz w:val="22"/>
          <w:szCs w:val="22"/>
        </w:rPr>
        <w:t xml:space="preserve">being </w:t>
      </w:r>
      <w:r w:rsidR="00845380" w:rsidRPr="00D53AFE">
        <w:rPr>
          <w:bCs/>
          <w:sz w:val="22"/>
          <w:szCs w:val="22"/>
        </w:rPr>
        <w:t>physically</w:t>
      </w:r>
      <w:r w:rsidR="00C67261" w:rsidRPr="00D53AFE">
        <w:rPr>
          <w:bCs/>
          <w:sz w:val="22"/>
          <w:szCs w:val="22"/>
        </w:rPr>
        <w:t xml:space="preserve"> present</w:t>
      </w:r>
      <w:r w:rsidR="00845380" w:rsidRPr="00D53AFE">
        <w:rPr>
          <w:bCs/>
          <w:sz w:val="22"/>
          <w:szCs w:val="22"/>
        </w:rPr>
        <w:t xml:space="preserve"> in Spain.</w:t>
      </w:r>
      <w:r w:rsidR="00845380" w:rsidRPr="00D53AFE">
        <w:rPr>
          <w:bCs/>
          <w:sz w:val="22"/>
          <w:szCs w:val="22"/>
          <w:vertAlign w:val="superscript"/>
        </w:rPr>
        <w:footnoteReference w:id="19"/>
      </w:r>
    </w:p>
    <w:p w14:paraId="538A8CDC" w14:textId="77777777" w:rsidR="00845380" w:rsidRPr="00D53AFE" w:rsidRDefault="00845380" w:rsidP="00CD7EF7">
      <w:pPr>
        <w:spacing w:after="0" w:line="240" w:lineRule="auto"/>
        <w:jc w:val="both"/>
        <w:rPr>
          <w:i/>
          <w:sz w:val="22"/>
          <w:szCs w:val="22"/>
        </w:rPr>
      </w:pPr>
    </w:p>
    <w:p w14:paraId="3CC934AA" w14:textId="2D9C5CC8" w:rsidR="00E504A5" w:rsidRPr="00D53AFE" w:rsidRDefault="00140587" w:rsidP="00C04A3A">
      <w:pPr>
        <w:spacing w:after="0" w:line="240" w:lineRule="auto"/>
        <w:jc w:val="both"/>
        <w:rPr>
          <w:bCs/>
          <w:sz w:val="22"/>
          <w:szCs w:val="22"/>
        </w:rPr>
      </w:pPr>
      <w:r w:rsidRPr="00D53AFE">
        <w:rPr>
          <w:sz w:val="22"/>
          <w:szCs w:val="22"/>
        </w:rPr>
        <w:t>T</w:t>
      </w:r>
      <w:r w:rsidR="00FB3209" w:rsidRPr="00D53AFE">
        <w:rPr>
          <w:sz w:val="22"/>
          <w:szCs w:val="22"/>
        </w:rPr>
        <w:t xml:space="preserve">he application will be </w:t>
      </w:r>
      <w:r w:rsidRPr="00D53AFE">
        <w:rPr>
          <w:b/>
          <w:sz w:val="22"/>
          <w:szCs w:val="22"/>
        </w:rPr>
        <w:t>refused</w:t>
      </w:r>
      <w:r w:rsidR="00FB3209" w:rsidRPr="00D53AFE">
        <w:rPr>
          <w:sz w:val="22"/>
          <w:szCs w:val="22"/>
        </w:rPr>
        <w:t xml:space="preserve"> when the conditions </w:t>
      </w:r>
      <w:r w:rsidR="004C7C30" w:rsidRPr="00D53AFE">
        <w:rPr>
          <w:sz w:val="22"/>
          <w:szCs w:val="22"/>
        </w:rPr>
        <w:t>for issuing</w:t>
      </w:r>
      <w:r w:rsidR="00FB3209" w:rsidRPr="00D53AFE">
        <w:rPr>
          <w:sz w:val="22"/>
          <w:szCs w:val="22"/>
        </w:rPr>
        <w:t xml:space="preserve"> the authorisation are not met and cannot be rectified. </w:t>
      </w:r>
      <w:r w:rsidRPr="00D53AFE">
        <w:rPr>
          <w:sz w:val="22"/>
          <w:szCs w:val="22"/>
        </w:rPr>
        <w:t>T</w:t>
      </w:r>
      <w:r w:rsidR="00FB3209" w:rsidRPr="00D53AFE">
        <w:rPr>
          <w:sz w:val="22"/>
          <w:szCs w:val="22"/>
        </w:rPr>
        <w:t xml:space="preserve">his decision is </w:t>
      </w:r>
      <w:r w:rsidR="00FB3209" w:rsidRPr="00D53AFE">
        <w:rPr>
          <w:b/>
          <w:sz w:val="22"/>
          <w:szCs w:val="22"/>
        </w:rPr>
        <w:t>subject to appeal</w:t>
      </w:r>
      <w:r w:rsidR="00FB3209" w:rsidRPr="00D53AFE">
        <w:rPr>
          <w:sz w:val="22"/>
          <w:szCs w:val="22"/>
        </w:rPr>
        <w:t>.</w:t>
      </w:r>
      <w:r w:rsidR="00FB3209" w:rsidRPr="00D53AFE">
        <w:rPr>
          <w:sz w:val="22"/>
          <w:szCs w:val="22"/>
          <w:vertAlign w:val="superscript"/>
        </w:rPr>
        <w:footnoteReference w:id="20"/>
      </w:r>
      <w:r w:rsidR="00C71EA1" w:rsidRPr="00D53AFE">
        <w:rPr>
          <w:bCs/>
          <w:sz w:val="22"/>
          <w:szCs w:val="22"/>
        </w:rPr>
        <w:t xml:space="preserve"> </w:t>
      </w:r>
    </w:p>
    <w:p w14:paraId="62A03CD8" w14:textId="77777777" w:rsidR="00C04A3A" w:rsidRPr="00D53AFE" w:rsidRDefault="00C04A3A" w:rsidP="00C04A3A">
      <w:pPr>
        <w:spacing w:after="0" w:line="240" w:lineRule="auto"/>
        <w:jc w:val="both"/>
        <w:rPr>
          <w:i/>
          <w:u w:val="single"/>
        </w:rPr>
      </w:pPr>
    </w:p>
    <w:p w14:paraId="51DFF09A" w14:textId="337AB26F" w:rsidR="00ED5790" w:rsidRPr="00D53AFE" w:rsidRDefault="00E504A5" w:rsidP="00CD7EF7">
      <w:pPr>
        <w:pStyle w:val="MMultilevel"/>
        <w:numPr>
          <w:ilvl w:val="0"/>
          <w:numId w:val="0"/>
        </w:numPr>
        <w:rPr>
          <w:i/>
          <w:u w:val="single"/>
          <w:lang w:val="en-GB"/>
        </w:rPr>
      </w:pPr>
      <w:r w:rsidRPr="00D53AFE">
        <w:rPr>
          <w:i/>
          <w:u w:val="single"/>
          <w:lang w:val="en-GB"/>
        </w:rPr>
        <w:t>Security and ex-post</w:t>
      </w:r>
      <w:r w:rsidR="00ED5790" w:rsidRPr="00D53AFE">
        <w:rPr>
          <w:i/>
          <w:u w:val="single"/>
          <w:lang w:val="en-GB"/>
        </w:rPr>
        <w:t xml:space="preserve"> checks</w:t>
      </w:r>
    </w:p>
    <w:p w14:paraId="52F48751" w14:textId="59E6F61C" w:rsidR="00E504A5" w:rsidRPr="00D53AFE" w:rsidRDefault="00E504A5" w:rsidP="00CD7EF7">
      <w:pPr>
        <w:pStyle w:val="MMultilevel"/>
        <w:numPr>
          <w:ilvl w:val="0"/>
          <w:numId w:val="0"/>
        </w:numPr>
        <w:rPr>
          <w:lang w:val="en-GB"/>
        </w:rPr>
      </w:pPr>
      <w:r w:rsidRPr="00D53AFE">
        <w:rPr>
          <w:lang w:val="en-GB"/>
        </w:rPr>
        <w:t xml:space="preserve">Security checks on the applicant’s background are carried out </w:t>
      </w:r>
      <w:r w:rsidRPr="00D53AFE">
        <w:rPr>
          <w:b/>
          <w:lang w:val="en-GB"/>
        </w:rPr>
        <w:t>at the time of submission of the application</w:t>
      </w:r>
      <w:r w:rsidRPr="00D53AFE">
        <w:rPr>
          <w:lang w:val="en-GB"/>
        </w:rPr>
        <w:t xml:space="preserve"> </w:t>
      </w:r>
      <w:r w:rsidR="00C71EA1" w:rsidRPr="00D53AFE">
        <w:rPr>
          <w:lang w:val="en-GB"/>
        </w:rPr>
        <w:t>(</w:t>
      </w:r>
      <w:r w:rsidRPr="00D53AFE">
        <w:rPr>
          <w:lang w:val="en-GB"/>
        </w:rPr>
        <w:t>for</w:t>
      </w:r>
      <w:r w:rsidR="00C71EA1" w:rsidRPr="00D53AFE">
        <w:rPr>
          <w:lang w:val="en-GB"/>
        </w:rPr>
        <w:t xml:space="preserve"> an investors’ residence</w:t>
      </w:r>
      <w:r w:rsidRPr="00D53AFE">
        <w:rPr>
          <w:lang w:val="en-GB"/>
        </w:rPr>
        <w:t xml:space="preserve"> visa or </w:t>
      </w:r>
      <w:r w:rsidR="00C71EA1" w:rsidRPr="00D53AFE">
        <w:rPr>
          <w:lang w:val="en-GB"/>
        </w:rPr>
        <w:t>for a</w:t>
      </w:r>
      <w:r w:rsidR="00C04A3A" w:rsidRPr="00D53AFE">
        <w:rPr>
          <w:lang w:val="en-GB"/>
        </w:rPr>
        <w:t xml:space="preserve"> residence</w:t>
      </w:r>
      <w:r w:rsidR="00C71EA1" w:rsidRPr="00D53AFE">
        <w:rPr>
          <w:lang w:val="en-GB"/>
        </w:rPr>
        <w:t xml:space="preserve"> </w:t>
      </w:r>
      <w:r w:rsidRPr="00D53AFE">
        <w:rPr>
          <w:lang w:val="en-GB"/>
        </w:rPr>
        <w:t>authorisation</w:t>
      </w:r>
      <w:r w:rsidR="00C71EA1" w:rsidRPr="00D53AFE">
        <w:rPr>
          <w:lang w:val="en-GB"/>
        </w:rPr>
        <w:t>)</w:t>
      </w:r>
      <w:r w:rsidRPr="00D53AFE">
        <w:rPr>
          <w:lang w:val="en-GB"/>
        </w:rPr>
        <w:t xml:space="preserve">. </w:t>
      </w:r>
      <w:r w:rsidR="002D6D41" w:rsidRPr="00D53AFE">
        <w:rPr>
          <w:lang w:val="en-GB"/>
        </w:rPr>
        <w:t>N</w:t>
      </w:r>
      <w:r w:rsidRPr="00D53AFE">
        <w:rPr>
          <w:lang w:val="en-GB"/>
        </w:rPr>
        <w:t xml:space="preserve">ational and international databases (including the Schengen Information System, the Europol Information System and Interpol) are consulted. </w:t>
      </w:r>
      <w:r w:rsidR="00E07C53" w:rsidRPr="00D53AFE">
        <w:rPr>
          <w:lang w:val="en-GB"/>
        </w:rPr>
        <w:t>The</w:t>
      </w:r>
      <w:r w:rsidRPr="00D53AFE">
        <w:rPr>
          <w:lang w:val="en-GB"/>
        </w:rPr>
        <w:t xml:space="preserve"> competent authorities may </w:t>
      </w:r>
      <w:r w:rsidR="00E07C53" w:rsidRPr="00D53AFE">
        <w:rPr>
          <w:lang w:val="en-GB"/>
        </w:rPr>
        <w:t xml:space="preserve">also </w:t>
      </w:r>
      <w:r w:rsidRPr="00D53AFE">
        <w:rPr>
          <w:lang w:val="en-GB"/>
        </w:rPr>
        <w:t>liaise with the Directorate-General of the Police</w:t>
      </w:r>
      <w:r w:rsidR="00C71EA1" w:rsidRPr="00D53AFE">
        <w:rPr>
          <w:lang w:val="en-GB"/>
        </w:rPr>
        <w:t>.</w:t>
      </w:r>
      <w:r w:rsidRPr="00D53AFE">
        <w:rPr>
          <w:vertAlign w:val="superscript"/>
          <w:lang w:val="en-GB"/>
        </w:rPr>
        <w:footnoteReference w:id="21"/>
      </w:r>
    </w:p>
    <w:p w14:paraId="51390B3D" w14:textId="77777777" w:rsidR="00E504A5" w:rsidRPr="00D53AFE" w:rsidRDefault="00E504A5" w:rsidP="00CD7EF7">
      <w:pPr>
        <w:pStyle w:val="MMultilevel"/>
        <w:numPr>
          <w:ilvl w:val="0"/>
          <w:numId w:val="0"/>
        </w:numPr>
        <w:rPr>
          <w:b/>
          <w:lang w:val="en-GB"/>
        </w:rPr>
      </w:pPr>
    </w:p>
    <w:p w14:paraId="600EF3FF" w14:textId="3473C367" w:rsidR="00ED5790" w:rsidRPr="00D53AFE" w:rsidRDefault="00ED5790" w:rsidP="00CD7EF7">
      <w:pPr>
        <w:pStyle w:val="MMultilevel"/>
        <w:numPr>
          <w:ilvl w:val="0"/>
          <w:numId w:val="0"/>
        </w:numPr>
        <w:rPr>
          <w:lang w:val="en-GB"/>
        </w:rPr>
      </w:pPr>
      <w:r w:rsidRPr="00D53AFE">
        <w:rPr>
          <w:b/>
          <w:lang w:val="en-GB"/>
        </w:rPr>
        <w:t>During the period of validity of the investors’ residence visa and the investors’ residence authorisation</w:t>
      </w:r>
      <w:r w:rsidRPr="00D53AFE">
        <w:rPr>
          <w:lang w:val="en-GB"/>
        </w:rPr>
        <w:t>, the criteria (including the investment and residence criteria) must continue to be fulfilled.</w:t>
      </w:r>
      <w:r w:rsidR="00134716" w:rsidRPr="00D53AFE">
        <w:rPr>
          <w:lang w:val="en-GB"/>
        </w:rPr>
        <w:t xml:space="preserve"> </w:t>
      </w:r>
      <w:r w:rsidRPr="00D53AFE">
        <w:rPr>
          <w:lang w:val="en-GB"/>
        </w:rPr>
        <w:t xml:space="preserve">Any </w:t>
      </w:r>
      <w:r w:rsidRPr="00D53AFE">
        <w:rPr>
          <w:b/>
          <w:lang w:val="en-GB"/>
        </w:rPr>
        <w:t>changes</w:t>
      </w:r>
      <w:r w:rsidRPr="00D53AFE">
        <w:rPr>
          <w:lang w:val="en-GB"/>
        </w:rPr>
        <w:t xml:space="preserve"> must be notified to the DGM within 30 days from the change.</w:t>
      </w:r>
      <w:r w:rsidR="00134716" w:rsidRPr="00D53AFE">
        <w:rPr>
          <w:lang w:val="en-GB"/>
        </w:rPr>
        <w:t xml:space="preserve"> </w:t>
      </w:r>
      <w:r w:rsidRPr="00D53AFE">
        <w:rPr>
          <w:lang w:val="en-GB"/>
        </w:rPr>
        <w:t>The competent authorities may implement the necessary measures to monitor that such conditions continue to be me</w:t>
      </w:r>
      <w:r w:rsidR="00134716" w:rsidRPr="00D53AFE">
        <w:rPr>
          <w:lang w:val="en-GB"/>
        </w:rPr>
        <w:t xml:space="preserve">t. </w:t>
      </w:r>
      <w:r w:rsidRPr="00D53AFE">
        <w:rPr>
          <w:lang w:val="en-GB"/>
        </w:rPr>
        <w:lastRenderedPageBreak/>
        <w:t xml:space="preserve">If the DGM concludes that the conditions have ceased to exist, it can, in a reasoned way, </w:t>
      </w:r>
      <w:r w:rsidRPr="00D53AFE">
        <w:rPr>
          <w:b/>
          <w:lang w:val="en-GB"/>
        </w:rPr>
        <w:t>withdraw</w:t>
      </w:r>
      <w:r w:rsidRPr="00D53AFE">
        <w:rPr>
          <w:lang w:val="en-GB"/>
        </w:rPr>
        <w:t xml:space="preserve"> the residence visa, after hearing the affected parties.</w:t>
      </w:r>
      <w:r w:rsidRPr="00D53AFE">
        <w:rPr>
          <w:vertAlign w:val="superscript"/>
          <w:lang w:val="en-GB"/>
        </w:rPr>
        <w:footnoteReference w:id="22"/>
      </w:r>
    </w:p>
    <w:p w14:paraId="0459B9F9" w14:textId="77777777" w:rsidR="00ED5790" w:rsidRPr="00D53AFE" w:rsidRDefault="00ED5790" w:rsidP="00CD7EF7">
      <w:pPr>
        <w:pStyle w:val="MMultilevel"/>
        <w:numPr>
          <w:ilvl w:val="0"/>
          <w:numId w:val="0"/>
        </w:numPr>
        <w:rPr>
          <w:lang w:val="en-GB"/>
        </w:rPr>
      </w:pPr>
    </w:p>
    <w:p w14:paraId="20B2AE05" w14:textId="500E2D28" w:rsidR="000A7C49" w:rsidRPr="00D53AFE" w:rsidRDefault="00BB2F1B" w:rsidP="00CD7EF7">
      <w:pPr>
        <w:pStyle w:val="MMultilevel"/>
        <w:numPr>
          <w:ilvl w:val="0"/>
          <w:numId w:val="0"/>
        </w:numPr>
        <w:rPr>
          <w:i/>
          <w:u w:val="single"/>
          <w:lang w:val="en-GB"/>
        </w:rPr>
      </w:pPr>
      <w:r w:rsidRPr="00D53AFE">
        <w:rPr>
          <w:i/>
          <w:u w:val="single"/>
          <w:lang w:val="en-GB"/>
        </w:rPr>
        <w:t>F</w:t>
      </w:r>
      <w:r w:rsidR="000A7C49" w:rsidRPr="00D53AFE">
        <w:rPr>
          <w:i/>
          <w:u w:val="single"/>
          <w:lang w:val="en-GB"/>
        </w:rPr>
        <w:t>amily members</w:t>
      </w:r>
    </w:p>
    <w:p w14:paraId="7CFD1C97" w14:textId="29105293" w:rsidR="000A7C49" w:rsidRPr="00D53AFE" w:rsidRDefault="00C47017" w:rsidP="002B0004">
      <w:pPr>
        <w:pStyle w:val="MMultilevel"/>
        <w:numPr>
          <w:ilvl w:val="0"/>
          <w:numId w:val="0"/>
        </w:numPr>
        <w:rPr>
          <w:lang w:val="en-GB"/>
        </w:rPr>
      </w:pPr>
      <w:r w:rsidRPr="00D53AFE">
        <w:rPr>
          <w:lang w:val="en-GB"/>
        </w:rPr>
        <w:t>The</w:t>
      </w:r>
      <w:r w:rsidR="000A7C49" w:rsidRPr="00D53AFE">
        <w:rPr>
          <w:lang w:val="en-GB"/>
        </w:rPr>
        <w:t xml:space="preserve"> following </w:t>
      </w:r>
      <w:r w:rsidR="000A7C49" w:rsidRPr="00D53AFE">
        <w:rPr>
          <w:b/>
          <w:lang w:val="en-GB"/>
        </w:rPr>
        <w:t>family members</w:t>
      </w:r>
      <w:r w:rsidR="000A7C49" w:rsidRPr="00D53AFE">
        <w:rPr>
          <w:lang w:val="en-GB"/>
        </w:rPr>
        <w:t xml:space="preserve"> accompanying or joining the investor can also </w:t>
      </w:r>
      <w:r w:rsidR="000A7C49" w:rsidRPr="00D53AFE">
        <w:rPr>
          <w:b/>
          <w:lang w:val="en-GB"/>
        </w:rPr>
        <w:t>request the residence authorisation</w:t>
      </w:r>
      <w:r w:rsidR="000A7C49" w:rsidRPr="00D53AFE">
        <w:rPr>
          <w:lang w:val="en-GB"/>
        </w:rPr>
        <w:t xml:space="preserve"> and, if applicable, the corresponding </w:t>
      </w:r>
      <w:r w:rsidR="000A7C49" w:rsidRPr="00D53AFE">
        <w:rPr>
          <w:b/>
          <w:lang w:val="en-GB"/>
        </w:rPr>
        <w:t>visa</w:t>
      </w:r>
      <w:r w:rsidR="000A7C49" w:rsidRPr="00D53AFE">
        <w:rPr>
          <w:lang w:val="en-GB"/>
        </w:rPr>
        <w:t>:</w:t>
      </w:r>
      <w:r w:rsidR="002B0004" w:rsidRPr="00D53AFE">
        <w:rPr>
          <w:lang w:val="en-GB"/>
        </w:rPr>
        <w:t xml:space="preserve"> </w:t>
      </w:r>
      <w:r w:rsidR="000A7C49" w:rsidRPr="00D53AFE">
        <w:rPr>
          <w:lang w:val="en-GB"/>
        </w:rPr>
        <w:t>the spouse or person with a similar relation</w:t>
      </w:r>
      <w:r w:rsidR="00134716" w:rsidRPr="00D53AFE">
        <w:rPr>
          <w:lang w:val="en-GB"/>
        </w:rPr>
        <w:t xml:space="preserve"> </w:t>
      </w:r>
      <w:r w:rsidR="000A7C49" w:rsidRPr="00D53AFE">
        <w:rPr>
          <w:lang w:val="en-GB"/>
        </w:rPr>
        <w:t>which exists when it is included in a public register established for that matter or, if not registered, it is proved;</w:t>
      </w:r>
      <w:r w:rsidR="002B0004" w:rsidRPr="00D53AFE">
        <w:rPr>
          <w:lang w:val="en-GB"/>
        </w:rPr>
        <w:t xml:space="preserve"> </w:t>
      </w:r>
      <w:r w:rsidR="000A7C49" w:rsidRPr="00D53AFE">
        <w:rPr>
          <w:lang w:val="en-GB"/>
        </w:rPr>
        <w:t>children under 18 or above that age who depend economically on the investor and who have not formed their own family unit; and</w:t>
      </w:r>
      <w:r w:rsidR="002B0004" w:rsidRPr="00D53AFE">
        <w:rPr>
          <w:lang w:val="en-GB"/>
        </w:rPr>
        <w:t xml:space="preserve"> </w:t>
      </w:r>
      <w:r w:rsidR="002D6D41" w:rsidRPr="00D53AFE">
        <w:rPr>
          <w:lang w:val="en-GB"/>
        </w:rPr>
        <w:t xml:space="preserve">economically </w:t>
      </w:r>
      <w:r w:rsidR="000A7C49" w:rsidRPr="00D53AFE">
        <w:rPr>
          <w:lang w:val="en-GB"/>
        </w:rPr>
        <w:t>dependent ascendants</w:t>
      </w:r>
      <w:r w:rsidR="002D6D41" w:rsidRPr="00D53AFE">
        <w:rPr>
          <w:lang w:val="en-GB"/>
        </w:rPr>
        <w:t>.</w:t>
      </w:r>
    </w:p>
    <w:p w14:paraId="153EC20C" w14:textId="77777777" w:rsidR="000A7C49" w:rsidRPr="00D53AFE" w:rsidRDefault="000A7C49" w:rsidP="002B0004">
      <w:pPr>
        <w:pStyle w:val="MMultilevel"/>
        <w:numPr>
          <w:ilvl w:val="0"/>
          <w:numId w:val="0"/>
        </w:numPr>
        <w:ind w:left="425" w:hanging="425"/>
        <w:rPr>
          <w:lang w:val="en-GB"/>
        </w:rPr>
      </w:pPr>
    </w:p>
    <w:p w14:paraId="6F862A83" w14:textId="38254F7F" w:rsidR="000A7C49" w:rsidRPr="00D53AFE" w:rsidRDefault="000A7C49" w:rsidP="00CD7EF7">
      <w:pPr>
        <w:pStyle w:val="MMultilevel"/>
        <w:numPr>
          <w:ilvl w:val="0"/>
          <w:numId w:val="0"/>
        </w:numPr>
        <w:rPr>
          <w:lang w:val="en-GB"/>
        </w:rPr>
      </w:pPr>
      <w:r w:rsidRPr="00D53AFE">
        <w:rPr>
          <w:lang w:val="en-GB"/>
        </w:rPr>
        <w:t xml:space="preserve">Investors’ family members can </w:t>
      </w:r>
      <w:r w:rsidRPr="00D53AFE">
        <w:rPr>
          <w:b/>
          <w:lang w:val="en-GB"/>
        </w:rPr>
        <w:t>apply</w:t>
      </w:r>
      <w:r w:rsidRPr="00D53AFE">
        <w:rPr>
          <w:lang w:val="en-GB"/>
        </w:rPr>
        <w:t xml:space="preserve"> </w:t>
      </w:r>
      <w:r w:rsidR="002D6D41" w:rsidRPr="00D53AFE">
        <w:rPr>
          <w:lang w:val="en-GB"/>
        </w:rPr>
        <w:t>alone</w:t>
      </w:r>
      <w:r w:rsidR="00134716" w:rsidRPr="00D53AFE">
        <w:rPr>
          <w:lang w:val="en-GB"/>
        </w:rPr>
        <w:t xml:space="preserve"> or</w:t>
      </w:r>
      <w:r w:rsidRPr="00D53AFE">
        <w:rPr>
          <w:lang w:val="en-GB"/>
        </w:rPr>
        <w:t xml:space="preserve"> </w:t>
      </w:r>
      <w:r w:rsidRPr="00D53AFE">
        <w:rPr>
          <w:b/>
          <w:lang w:val="en-GB"/>
        </w:rPr>
        <w:t>in group</w:t>
      </w:r>
      <w:r w:rsidRPr="00D53AFE">
        <w:rPr>
          <w:lang w:val="en-GB"/>
        </w:rPr>
        <w:t xml:space="preserve">, and </w:t>
      </w:r>
      <w:r w:rsidRPr="00D53AFE">
        <w:rPr>
          <w:b/>
          <w:lang w:val="en-GB"/>
        </w:rPr>
        <w:t>simultaneously or successively to the application filed by the foreign investor</w:t>
      </w:r>
      <w:r w:rsidRPr="00D53AFE">
        <w:rPr>
          <w:lang w:val="en-GB"/>
        </w:rPr>
        <w:t xml:space="preserve"> for an investors’ residence visa and residence authorisation</w:t>
      </w:r>
      <w:r w:rsidR="00134716" w:rsidRPr="00D53AFE">
        <w:rPr>
          <w:lang w:val="en-GB"/>
        </w:rPr>
        <w:t xml:space="preserve"> following the same procedure described above</w:t>
      </w:r>
      <w:r w:rsidRPr="00D53AFE">
        <w:rPr>
          <w:lang w:val="en-GB"/>
        </w:rPr>
        <w:t xml:space="preserve">. </w:t>
      </w:r>
    </w:p>
    <w:p w14:paraId="7352637D" w14:textId="77777777" w:rsidR="000A7C49" w:rsidRPr="00D53AFE" w:rsidRDefault="000A7C49" w:rsidP="00CD7EF7">
      <w:pPr>
        <w:spacing w:after="0" w:line="240" w:lineRule="auto"/>
        <w:jc w:val="both"/>
        <w:rPr>
          <w:i/>
          <w:sz w:val="22"/>
          <w:szCs w:val="22"/>
          <w:u w:val="single"/>
        </w:rPr>
      </w:pPr>
    </w:p>
    <w:p w14:paraId="15746DAA" w14:textId="1ED1D7D9" w:rsidR="00FB3209" w:rsidRPr="00D53AFE" w:rsidRDefault="000A7C49" w:rsidP="00CD7EF7">
      <w:pPr>
        <w:spacing w:after="0" w:line="240" w:lineRule="auto"/>
        <w:jc w:val="both"/>
        <w:rPr>
          <w:i/>
          <w:sz w:val="22"/>
          <w:szCs w:val="22"/>
          <w:u w:val="single"/>
        </w:rPr>
      </w:pPr>
      <w:bookmarkStart w:id="2" w:name="_Hlk524084183"/>
      <w:r w:rsidRPr="00D53AFE">
        <w:rPr>
          <w:i/>
          <w:sz w:val="22"/>
          <w:szCs w:val="22"/>
          <w:u w:val="single"/>
        </w:rPr>
        <w:t>Monitoring of the proceedings and the authorities involved</w:t>
      </w:r>
      <w:bookmarkEnd w:id="2"/>
    </w:p>
    <w:p w14:paraId="6ECE6E1A" w14:textId="0A679534" w:rsidR="000A7C49" w:rsidRPr="00D53AFE" w:rsidRDefault="000A7C49" w:rsidP="00CD7EF7">
      <w:pPr>
        <w:pStyle w:val="MBT"/>
        <w:rPr>
          <w:lang w:val="en-GB"/>
        </w:rPr>
      </w:pPr>
      <w:r w:rsidRPr="00D53AFE">
        <w:rPr>
          <w:lang w:val="en-GB"/>
        </w:rPr>
        <w:t xml:space="preserve">There is </w:t>
      </w:r>
      <w:r w:rsidRPr="00D53AFE">
        <w:rPr>
          <w:b/>
          <w:lang w:val="en-GB"/>
        </w:rPr>
        <w:t>no limitation/cap on the number of applications</w:t>
      </w:r>
      <w:r w:rsidRPr="00D53AFE">
        <w:rPr>
          <w:lang w:val="en-GB"/>
        </w:rPr>
        <w:t xml:space="preserve"> that can be submitted by foreign investors. </w:t>
      </w:r>
    </w:p>
    <w:p w14:paraId="0062DDE6" w14:textId="77777777" w:rsidR="000A7C49" w:rsidRPr="00D53AFE" w:rsidRDefault="000A7C49" w:rsidP="00CD7EF7">
      <w:pPr>
        <w:pStyle w:val="MBT"/>
        <w:rPr>
          <w:lang w:val="en-GB"/>
        </w:rPr>
      </w:pPr>
    </w:p>
    <w:p w14:paraId="6BE77D2B" w14:textId="72CF007C" w:rsidR="000A7C49" w:rsidRPr="00D53AFE" w:rsidRDefault="00134716" w:rsidP="00CD7EF7">
      <w:pPr>
        <w:pStyle w:val="MBT"/>
        <w:rPr>
          <w:lang w:val="en-GB"/>
        </w:rPr>
      </w:pPr>
      <w:r w:rsidRPr="00D53AFE">
        <w:rPr>
          <w:lang w:val="en-GB"/>
        </w:rPr>
        <w:t xml:space="preserve">The Eleventh Final Provision of </w:t>
      </w:r>
      <w:r w:rsidR="000A7C49" w:rsidRPr="00D53AFE">
        <w:rPr>
          <w:lang w:val="en-GB"/>
        </w:rPr>
        <w:t xml:space="preserve">Law 14/2013 </w:t>
      </w:r>
      <w:r w:rsidR="002D6D41" w:rsidRPr="00D53AFE">
        <w:rPr>
          <w:lang w:val="en-GB"/>
        </w:rPr>
        <w:t>requires</w:t>
      </w:r>
      <w:r w:rsidR="00140587" w:rsidRPr="00D53AFE">
        <w:rPr>
          <w:b/>
          <w:lang w:val="en-GB"/>
        </w:rPr>
        <w:t xml:space="preserve"> the MESS to</w:t>
      </w:r>
      <w:r w:rsidR="000A7C49" w:rsidRPr="00D53AFE">
        <w:rPr>
          <w:b/>
          <w:lang w:val="en-GB"/>
        </w:rPr>
        <w:t xml:space="preserve"> prepare an annual report</w:t>
      </w:r>
      <w:r w:rsidR="000A7C49" w:rsidRPr="00D53AFE">
        <w:rPr>
          <w:lang w:val="en-GB"/>
        </w:rPr>
        <w:t xml:space="preserve"> on the </w:t>
      </w:r>
      <w:r w:rsidR="000A7C49" w:rsidRPr="00D53AFE">
        <w:rPr>
          <w:b/>
          <w:lang w:val="en-GB"/>
        </w:rPr>
        <w:t>implementation of the rules on</w:t>
      </w:r>
      <w:r w:rsidR="000A7C49" w:rsidRPr="00D53AFE">
        <w:rPr>
          <w:lang w:val="en-GB"/>
        </w:rPr>
        <w:t xml:space="preserve"> </w:t>
      </w:r>
      <w:r w:rsidR="000A7C49" w:rsidRPr="00D53AFE">
        <w:rPr>
          <w:b/>
          <w:lang w:val="en-GB"/>
        </w:rPr>
        <w:t>visas and authorisations</w:t>
      </w:r>
      <w:r w:rsidR="006C3512" w:rsidRPr="00D53AFE">
        <w:rPr>
          <w:rStyle w:val="FootnoteReference"/>
          <w:b/>
          <w:lang w:val="en-GB"/>
        </w:rPr>
        <w:footnoteReference w:id="23"/>
      </w:r>
      <w:r w:rsidR="002D6D41" w:rsidRPr="00D53AFE">
        <w:rPr>
          <w:lang w:val="en-GB"/>
        </w:rPr>
        <w:t xml:space="preserve"> that</w:t>
      </w:r>
      <w:r w:rsidR="000A7C49" w:rsidRPr="00D53AFE">
        <w:rPr>
          <w:lang w:val="en-GB"/>
        </w:rPr>
        <w:t xml:space="preserve"> </w:t>
      </w:r>
      <w:r w:rsidR="006C3512" w:rsidRPr="00D53AFE">
        <w:rPr>
          <w:lang w:val="en-GB"/>
        </w:rPr>
        <w:t>is</w:t>
      </w:r>
      <w:r w:rsidR="000A7C49" w:rsidRPr="00D53AFE">
        <w:rPr>
          <w:lang w:val="en-GB"/>
        </w:rPr>
        <w:t xml:space="preserve"> </w:t>
      </w:r>
      <w:r w:rsidR="000A7C49" w:rsidRPr="00D53AFE">
        <w:rPr>
          <w:b/>
          <w:lang w:val="en-GB"/>
        </w:rPr>
        <w:t>submitted to the Council of Ministers</w:t>
      </w:r>
      <w:r w:rsidR="000A7C49" w:rsidRPr="00D53AFE">
        <w:rPr>
          <w:lang w:val="en-GB"/>
        </w:rPr>
        <w:t xml:space="preserve">. Following the evaluation in the report, the Council </w:t>
      </w:r>
      <w:r w:rsidRPr="00D53AFE">
        <w:rPr>
          <w:lang w:val="en-GB"/>
        </w:rPr>
        <w:t>can</w:t>
      </w:r>
      <w:r w:rsidR="000A7C49" w:rsidRPr="00D53AFE">
        <w:rPr>
          <w:lang w:val="en-GB"/>
        </w:rPr>
        <w:t xml:space="preserve"> approve Instructions to establish an entry and stay procedure for </w:t>
      </w:r>
      <w:r w:rsidR="000A7C49" w:rsidRPr="00D53AFE">
        <w:rPr>
          <w:b/>
          <w:lang w:val="en-GB"/>
        </w:rPr>
        <w:t>national interest economic reasons</w:t>
      </w:r>
      <w:r w:rsidR="000A7C49" w:rsidRPr="00D53AFE">
        <w:rPr>
          <w:lang w:val="en-GB"/>
        </w:rPr>
        <w:t xml:space="preserve"> in cases which are not already established by the Law.</w:t>
      </w:r>
      <w:r w:rsidR="000A7C49" w:rsidRPr="00D53AFE">
        <w:rPr>
          <w:rStyle w:val="FootnoteReference"/>
          <w:lang w:val="en-GB"/>
        </w:rPr>
        <w:footnoteReference w:id="24"/>
      </w:r>
      <w:r w:rsidR="000A7C49" w:rsidRPr="00D53AFE">
        <w:rPr>
          <w:lang w:val="en-GB"/>
        </w:rPr>
        <w:t xml:space="preserve"> To date no such Instructions have been approved.</w:t>
      </w:r>
      <w:r w:rsidR="00091D17" w:rsidRPr="00D53AFE">
        <w:rPr>
          <w:rStyle w:val="FootnoteReference"/>
          <w:lang w:val="en-GB"/>
        </w:rPr>
        <w:footnoteReference w:id="25"/>
      </w:r>
      <w:r w:rsidR="000A7C49" w:rsidRPr="00D53AFE">
        <w:rPr>
          <w:lang w:val="en-GB"/>
        </w:rPr>
        <w:t xml:space="preserve"> </w:t>
      </w:r>
    </w:p>
    <w:p w14:paraId="42DAF997" w14:textId="4B048274" w:rsidR="00FB3209" w:rsidRPr="00D53AFE" w:rsidRDefault="00FB3209" w:rsidP="00CD7EF7">
      <w:pPr>
        <w:spacing w:after="0" w:line="240" w:lineRule="auto"/>
        <w:jc w:val="both"/>
        <w:rPr>
          <w:i/>
          <w:sz w:val="22"/>
          <w:szCs w:val="22"/>
          <w:u w:val="single"/>
        </w:rPr>
      </w:pPr>
    </w:p>
    <w:p w14:paraId="070D7516" w14:textId="146BD7E5" w:rsidR="004F7D4A" w:rsidRPr="00D53AFE" w:rsidRDefault="004F7D4A" w:rsidP="00CD7EF7">
      <w:pPr>
        <w:spacing w:after="0" w:line="240" w:lineRule="auto"/>
        <w:jc w:val="both"/>
        <w:rPr>
          <w:i/>
          <w:sz w:val="22"/>
          <w:szCs w:val="22"/>
          <w:u w:val="single"/>
        </w:rPr>
      </w:pPr>
      <w:r w:rsidRPr="00D53AFE">
        <w:rPr>
          <w:i/>
          <w:sz w:val="22"/>
          <w:szCs w:val="22"/>
          <w:u w:val="single"/>
        </w:rPr>
        <w:t>Rights</w:t>
      </w:r>
    </w:p>
    <w:p w14:paraId="10169F69" w14:textId="491C871C" w:rsidR="00B86E7F" w:rsidRPr="00D53AFE" w:rsidRDefault="00B86E7F" w:rsidP="002B0004">
      <w:pPr>
        <w:widowControl w:val="0"/>
        <w:spacing w:after="0" w:line="240" w:lineRule="auto"/>
        <w:jc w:val="both"/>
        <w:rPr>
          <w:rFonts w:eastAsia="Times New Roman"/>
          <w:bCs/>
          <w:sz w:val="22"/>
          <w:szCs w:val="22"/>
          <w:lang w:eastAsia="fr-FR"/>
        </w:rPr>
      </w:pPr>
      <w:r w:rsidRPr="00D53AFE">
        <w:rPr>
          <w:rFonts w:eastAsia="Times New Roman"/>
          <w:bCs/>
          <w:sz w:val="22"/>
          <w:szCs w:val="22"/>
          <w:lang w:eastAsia="fr-FR"/>
        </w:rPr>
        <w:t xml:space="preserve">Both the investors’ residence visa and the investors’ residence authorisation grant the applicant and the family members the </w:t>
      </w:r>
      <w:r w:rsidRPr="00D53AFE">
        <w:rPr>
          <w:rFonts w:eastAsia="Times New Roman"/>
          <w:b/>
          <w:bCs/>
          <w:sz w:val="22"/>
          <w:szCs w:val="22"/>
          <w:lang w:eastAsia="fr-FR"/>
        </w:rPr>
        <w:t>right to reside and work</w:t>
      </w:r>
      <w:r w:rsidRPr="00D53AFE">
        <w:rPr>
          <w:rFonts w:eastAsia="Times New Roman"/>
          <w:bCs/>
          <w:sz w:val="22"/>
          <w:szCs w:val="22"/>
          <w:lang w:eastAsia="fr-FR"/>
        </w:rPr>
        <w:t xml:space="preserve"> in Spain.</w:t>
      </w:r>
      <w:r w:rsidRPr="00D53AFE">
        <w:rPr>
          <w:rFonts w:eastAsia="Times New Roman"/>
          <w:bCs/>
          <w:sz w:val="22"/>
          <w:szCs w:val="22"/>
          <w:vertAlign w:val="superscript"/>
          <w:lang w:eastAsia="fr-FR"/>
        </w:rPr>
        <w:footnoteReference w:id="26"/>
      </w:r>
      <w:r w:rsidRPr="00D53AFE">
        <w:rPr>
          <w:rFonts w:eastAsia="Times New Roman"/>
          <w:bCs/>
          <w:sz w:val="22"/>
          <w:szCs w:val="22"/>
          <w:lang w:eastAsia="fr-FR"/>
        </w:rPr>
        <w:t xml:space="preserve"> In addition, the rights of third-country nationals legally residing in Spain (thus, including investors who hold the necessary permit) are regulated in the Spanish law on aliens (Organic Law 4/2000).</w:t>
      </w:r>
      <w:r w:rsidRPr="00D53AFE">
        <w:rPr>
          <w:rFonts w:eastAsia="Times New Roman"/>
          <w:bCs/>
          <w:color w:val="000000"/>
          <w:sz w:val="22"/>
          <w:szCs w:val="22"/>
          <w:lang w:eastAsia="fr-FR"/>
        </w:rPr>
        <w:t xml:space="preserve"> In particular, the following rights are recognised and granted </w:t>
      </w:r>
      <w:r w:rsidRPr="00D53AFE">
        <w:rPr>
          <w:rFonts w:eastAsia="Times New Roman"/>
          <w:bCs/>
          <w:sz w:val="22"/>
          <w:szCs w:val="22"/>
          <w:lang w:eastAsia="fr-FR"/>
        </w:rPr>
        <w:t>under the same conditions as Spanish citizens</w:t>
      </w:r>
      <w:r w:rsidR="00E07C53" w:rsidRPr="00D53AFE">
        <w:rPr>
          <w:rFonts w:eastAsia="Times New Roman"/>
          <w:bCs/>
          <w:sz w:val="22"/>
          <w:szCs w:val="22"/>
          <w:lang w:eastAsia="fr-FR"/>
        </w:rPr>
        <w:t>:</w:t>
      </w:r>
      <w:r w:rsidRPr="00D53AFE">
        <w:rPr>
          <w:rFonts w:eastAsia="Times New Roman"/>
          <w:bCs/>
          <w:sz w:val="22"/>
          <w:szCs w:val="22"/>
          <w:vertAlign w:val="superscript"/>
          <w:lang w:eastAsia="fr-FR"/>
        </w:rPr>
        <w:footnoteReference w:id="27"/>
      </w:r>
      <w:r w:rsidR="002B0004" w:rsidRPr="00D53AFE">
        <w:rPr>
          <w:rFonts w:eastAsia="Times New Roman"/>
          <w:bCs/>
          <w:sz w:val="22"/>
          <w:szCs w:val="22"/>
          <w:lang w:eastAsia="fr-FR"/>
        </w:rPr>
        <w:t>t</w:t>
      </w:r>
      <w:r w:rsidR="002D6D41" w:rsidRPr="00D53AFE">
        <w:rPr>
          <w:rFonts w:eastAsia="Times New Roman"/>
          <w:bCs/>
          <w:sz w:val="22"/>
          <w:szCs w:val="22"/>
          <w:lang w:eastAsia="fr-FR"/>
        </w:rPr>
        <w:t>o</w:t>
      </w:r>
      <w:r w:rsidRPr="00D53AFE">
        <w:rPr>
          <w:rFonts w:eastAsia="Times New Roman"/>
          <w:bCs/>
          <w:sz w:val="22"/>
          <w:szCs w:val="22"/>
          <w:lang w:eastAsia="fr-FR"/>
        </w:rPr>
        <w:t xml:space="preserve"> obtain the necessary documentation certifying their identity and that they are legally staying in Spain</w:t>
      </w:r>
      <w:r w:rsidR="002B0004" w:rsidRPr="00D53AFE">
        <w:rPr>
          <w:rFonts w:eastAsia="Times New Roman"/>
          <w:bCs/>
          <w:sz w:val="22"/>
          <w:szCs w:val="22"/>
          <w:lang w:eastAsia="fr-FR"/>
        </w:rPr>
        <w:t>; t</w:t>
      </w:r>
      <w:r w:rsidR="002D6D41" w:rsidRPr="00D53AFE">
        <w:rPr>
          <w:rFonts w:eastAsia="Times New Roman"/>
          <w:bCs/>
          <w:sz w:val="22"/>
          <w:szCs w:val="22"/>
          <w:lang w:eastAsia="fr-FR"/>
        </w:rPr>
        <w:t>o</w:t>
      </w:r>
      <w:r w:rsidRPr="00D53AFE">
        <w:rPr>
          <w:rFonts w:eastAsia="Times New Roman"/>
          <w:bCs/>
          <w:sz w:val="22"/>
          <w:szCs w:val="22"/>
          <w:lang w:eastAsia="fr-FR"/>
        </w:rPr>
        <w:t xml:space="preserve"> freedom of movement and establishment in the Spanish territory</w:t>
      </w:r>
      <w:r w:rsidR="002B0004" w:rsidRPr="00D53AFE">
        <w:rPr>
          <w:rFonts w:eastAsia="Times New Roman"/>
          <w:bCs/>
          <w:sz w:val="22"/>
          <w:szCs w:val="22"/>
          <w:lang w:eastAsia="fr-FR"/>
        </w:rPr>
        <w:t>; t</w:t>
      </w:r>
      <w:r w:rsidR="002D6D41" w:rsidRPr="00D53AFE">
        <w:rPr>
          <w:rFonts w:eastAsia="Times New Roman"/>
          <w:bCs/>
          <w:sz w:val="22"/>
          <w:szCs w:val="22"/>
          <w:lang w:eastAsia="fr-FR"/>
        </w:rPr>
        <w:t>o</w:t>
      </w:r>
      <w:r w:rsidRPr="00D53AFE">
        <w:rPr>
          <w:rFonts w:eastAsia="Times New Roman"/>
          <w:bCs/>
          <w:sz w:val="22"/>
          <w:szCs w:val="22"/>
          <w:lang w:eastAsia="fr-FR"/>
        </w:rPr>
        <w:t xml:space="preserve"> </w:t>
      </w:r>
      <w:r w:rsidR="002D6D41" w:rsidRPr="00D53AFE">
        <w:rPr>
          <w:rFonts w:eastAsia="Times New Roman"/>
          <w:bCs/>
          <w:sz w:val="22"/>
          <w:szCs w:val="22"/>
          <w:lang w:eastAsia="fr-FR"/>
        </w:rPr>
        <w:t xml:space="preserve">participate </w:t>
      </w:r>
      <w:r w:rsidRPr="00D53AFE">
        <w:rPr>
          <w:rFonts w:eastAsia="Times New Roman"/>
          <w:bCs/>
          <w:sz w:val="22"/>
          <w:szCs w:val="22"/>
          <w:lang w:eastAsia="fr-FR"/>
        </w:rPr>
        <w:t>in municipal elections and to an easy procedure to participate in elections of their country of origin</w:t>
      </w:r>
      <w:r w:rsidR="002B0004" w:rsidRPr="00D53AFE">
        <w:rPr>
          <w:rFonts w:eastAsia="Times New Roman"/>
          <w:bCs/>
          <w:sz w:val="22"/>
          <w:szCs w:val="22"/>
          <w:lang w:eastAsia="fr-FR"/>
        </w:rPr>
        <w:t>; f</w:t>
      </w:r>
      <w:r w:rsidRPr="00D53AFE">
        <w:rPr>
          <w:rFonts w:eastAsia="Times New Roman"/>
          <w:bCs/>
          <w:sz w:val="22"/>
          <w:szCs w:val="22"/>
          <w:lang w:eastAsia="fr-FR"/>
        </w:rPr>
        <w:t>reedom of assembly and demonstration</w:t>
      </w:r>
      <w:r w:rsidR="002B0004" w:rsidRPr="00D53AFE">
        <w:rPr>
          <w:rFonts w:eastAsia="Times New Roman"/>
          <w:bCs/>
          <w:sz w:val="22"/>
          <w:szCs w:val="22"/>
          <w:lang w:eastAsia="fr-FR"/>
        </w:rPr>
        <w:t>; f</w:t>
      </w:r>
      <w:r w:rsidRPr="00D53AFE">
        <w:rPr>
          <w:rFonts w:eastAsia="Times New Roman"/>
          <w:bCs/>
          <w:sz w:val="22"/>
          <w:szCs w:val="22"/>
          <w:lang w:eastAsia="fr-FR"/>
        </w:rPr>
        <w:t>reedom of association</w:t>
      </w:r>
      <w:r w:rsidR="002B0004" w:rsidRPr="00D53AFE">
        <w:rPr>
          <w:rFonts w:eastAsia="Times New Roman"/>
          <w:bCs/>
          <w:sz w:val="22"/>
          <w:szCs w:val="22"/>
          <w:lang w:eastAsia="fr-FR"/>
        </w:rPr>
        <w:t>; t</w:t>
      </w:r>
      <w:r w:rsidR="002D6D41" w:rsidRPr="00D53AFE">
        <w:rPr>
          <w:rFonts w:eastAsia="Times New Roman"/>
          <w:bCs/>
          <w:sz w:val="22"/>
          <w:szCs w:val="22"/>
          <w:lang w:eastAsia="fr-FR"/>
        </w:rPr>
        <w:t>o</w:t>
      </w:r>
      <w:r w:rsidRPr="00D53AFE">
        <w:rPr>
          <w:rFonts w:eastAsia="Times New Roman"/>
          <w:bCs/>
          <w:sz w:val="22"/>
          <w:szCs w:val="22"/>
          <w:lang w:eastAsia="fr-FR"/>
        </w:rPr>
        <w:t xml:space="preserve"> education</w:t>
      </w:r>
      <w:r w:rsidR="002B0004" w:rsidRPr="00D53AFE">
        <w:rPr>
          <w:rFonts w:eastAsia="Times New Roman"/>
          <w:bCs/>
          <w:sz w:val="22"/>
          <w:szCs w:val="22"/>
          <w:lang w:eastAsia="fr-FR"/>
        </w:rPr>
        <w:t>; t</w:t>
      </w:r>
      <w:r w:rsidR="002D6D41" w:rsidRPr="00D53AFE">
        <w:rPr>
          <w:rFonts w:eastAsia="Times New Roman"/>
          <w:bCs/>
          <w:sz w:val="22"/>
          <w:szCs w:val="22"/>
          <w:lang w:eastAsia="fr-FR"/>
        </w:rPr>
        <w:t>o</w:t>
      </w:r>
      <w:r w:rsidRPr="00D53AFE">
        <w:rPr>
          <w:rFonts w:eastAsia="Times New Roman"/>
          <w:bCs/>
          <w:sz w:val="22"/>
          <w:szCs w:val="22"/>
          <w:lang w:eastAsia="fr-FR"/>
        </w:rPr>
        <w:t xml:space="preserve"> work (employed or self-employed)</w:t>
      </w:r>
      <w:r w:rsidR="002B0004" w:rsidRPr="00D53AFE">
        <w:rPr>
          <w:rFonts w:eastAsia="Times New Roman"/>
          <w:bCs/>
          <w:sz w:val="22"/>
          <w:szCs w:val="22"/>
          <w:lang w:eastAsia="fr-FR"/>
        </w:rPr>
        <w:t>; f</w:t>
      </w:r>
      <w:r w:rsidRPr="00D53AFE">
        <w:rPr>
          <w:rFonts w:eastAsia="Times New Roman"/>
          <w:bCs/>
          <w:sz w:val="22"/>
          <w:szCs w:val="22"/>
          <w:lang w:eastAsia="fr-FR"/>
        </w:rPr>
        <w:t>reedom to join and form trade unions/professional organizations and freedom to strike</w:t>
      </w:r>
      <w:r w:rsidR="002B0004" w:rsidRPr="00D53AFE">
        <w:rPr>
          <w:rFonts w:eastAsia="Times New Roman"/>
          <w:bCs/>
          <w:sz w:val="22"/>
          <w:szCs w:val="22"/>
          <w:lang w:eastAsia="fr-FR"/>
        </w:rPr>
        <w:t>; t</w:t>
      </w:r>
      <w:r w:rsidR="002D6D41" w:rsidRPr="00D53AFE">
        <w:rPr>
          <w:rFonts w:eastAsia="Times New Roman"/>
          <w:bCs/>
          <w:sz w:val="22"/>
          <w:szCs w:val="22"/>
          <w:lang w:eastAsia="fr-FR"/>
        </w:rPr>
        <w:t>o</w:t>
      </w:r>
      <w:r w:rsidRPr="00D53AFE">
        <w:rPr>
          <w:rFonts w:eastAsia="Times New Roman"/>
          <w:bCs/>
          <w:sz w:val="22"/>
          <w:szCs w:val="22"/>
          <w:lang w:eastAsia="fr-FR"/>
        </w:rPr>
        <w:t xml:space="preserve"> healthcare</w:t>
      </w:r>
      <w:r w:rsidR="002D6D41" w:rsidRPr="00D53AFE">
        <w:rPr>
          <w:rFonts w:eastAsia="Times New Roman"/>
          <w:bCs/>
          <w:sz w:val="22"/>
          <w:szCs w:val="22"/>
          <w:lang w:eastAsia="fr-FR"/>
        </w:rPr>
        <w:t>, social services and to access the social security system</w:t>
      </w:r>
      <w:r w:rsidR="002B0004" w:rsidRPr="00D53AFE">
        <w:rPr>
          <w:rFonts w:eastAsia="Times New Roman"/>
          <w:bCs/>
          <w:sz w:val="22"/>
          <w:szCs w:val="22"/>
          <w:lang w:eastAsia="fr-FR"/>
        </w:rPr>
        <w:t>; t</w:t>
      </w:r>
      <w:r w:rsidR="002D6D41" w:rsidRPr="00D53AFE">
        <w:rPr>
          <w:rFonts w:eastAsia="Times New Roman"/>
          <w:bCs/>
          <w:sz w:val="22"/>
          <w:szCs w:val="22"/>
          <w:lang w:eastAsia="fr-FR"/>
        </w:rPr>
        <w:t>o</w:t>
      </w:r>
      <w:r w:rsidRPr="00D53AFE">
        <w:rPr>
          <w:rFonts w:eastAsia="Times New Roman"/>
          <w:bCs/>
          <w:sz w:val="22"/>
          <w:szCs w:val="22"/>
          <w:lang w:eastAsia="fr-FR"/>
        </w:rPr>
        <w:t xml:space="preserve"> public subsidies </w:t>
      </w:r>
      <w:r w:rsidR="002D6D41" w:rsidRPr="00D53AFE">
        <w:rPr>
          <w:rFonts w:eastAsia="Times New Roman"/>
          <w:bCs/>
          <w:sz w:val="22"/>
          <w:szCs w:val="22"/>
          <w:lang w:eastAsia="fr-FR"/>
        </w:rPr>
        <w:t xml:space="preserve">for </w:t>
      </w:r>
      <w:r w:rsidRPr="00D53AFE">
        <w:rPr>
          <w:rFonts w:eastAsia="Times New Roman"/>
          <w:bCs/>
          <w:sz w:val="22"/>
          <w:szCs w:val="22"/>
          <w:lang w:eastAsia="fr-FR"/>
        </w:rPr>
        <w:t>housing</w:t>
      </w:r>
      <w:r w:rsidR="002B0004" w:rsidRPr="00D53AFE">
        <w:rPr>
          <w:rFonts w:eastAsia="Times New Roman"/>
          <w:bCs/>
          <w:sz w:val="22"/>
          <w:szCs w:val="22"/>
          <w:lang w:eastAsia="fr-FR"/>
        </w:rPr>
        <w:t>; and to</w:t>
      </w:r>
      <w:r w:rsidRPr="00D53AFE">
        <w:rPr>
          <w:rFonts w:eastAsia="Times New Roman"/>
          <w:bCs/>
          <w:sz w:val="22"/>
          <w:szCs w:val="22"/>
          <w:lang w:eastAsia="fr-FR"/>
        </w:rPr>
        <w:t xml:space="preserve"> social services and to access the Social Security System</w:t>
      </w:r>
      <w:r w:rsidR="002B0004" w:rsidRPr="00D53AFE">
        <w:rPr>
          <w:rFonts w:eastAsia="Times New Roman"/>
          <w:bCs/>
          <w:sz w:val="22"/>
          <w:szCs w:val="22"/>
          <w:lang w:eastAsia="fr-FR"/>
        </w:rPr>
        <w:t>.</w:t>
      </w:r>
      <w:r w:rsidRPr="00D53AFE">
        <w:rPr>
          <w:rFonts w:eastAsia="Times New Roman"/>
          <w:bCs/>
          <w:sz w:val="22"/>
          <w:szCs w:val="22"/>
          <w:vertAlign w:val="superscript"/>
          <w:lang w:eastAsia="fr-FR"/>
        </w:rPr>
        <w:footnoteReference w:id="28"/>
      </w:r>
    </w:p>
    <w:p w14:paraId="160EDF4D" w14:textId="20A84CB8" w:rsidR="00FB3209" w:rsidRPr="00D53AFE" w:rsidRDefault="00FB3209" w:rsidP="00CD7EF7">
      <w:pPr>
        <w:spacing w:after="0" w:line="240" w:lineRule="auto"/>
        <w:jc w:val="both"/>
        <w:rPr>
          <w:i/>
          <w:sz w:val="22"/>
          <w:szCs w:val="22"/>
        </w:rPr>
      </w:pPr>
    </w:p>
    <w:p w14:paraId="0F2F897E" w14:textId="27AA64AE" w:rsidR="00B86E7F" w:rsidRPr="00D53AFE" w:rsidRDefault="00B86E7F" w:rsidP="00CD7EF7">
      <w:pPr>
        <w:pStyle w:val="MBT"/>
        <w:rPr>
          <w:color w:val="000000" w:themeColor="text1"/>
          <w:lang w:val="en-GB"/>
        </w:rPr>
      </w:pPr>
      <w:r w:rsidRPr="00D53AFE">
        <w:rPr>
          <w:color w:val="000000" w:themeColor="text1"/>
          <w:lang w:val="en-GB"/>
        </w:rPr>
        <w:t xml:space="preserve">No other benefits were identified. </w:t>
      </w:r>
      <w:r w:rsidR="002B0004" w:rsidRPr="00D53AFE">
        <w:rPr>
          <w:color w:val="000000" w:themeColor="text1"/>
          <w:lang w:val="en-GB"/>
        </w:rPr>
        <w:t>T</w:t>
      </w:r>
      <w:r w:rsidRPr="00D53AFE">
        <w:rPr>
          <w:color w:val="000000" w:themeColor="text1"/>
          <w:lang w:val="en-GB"/>
        </w:rPr>
        <w:t>hird-country nationals legally residing in Spain are subject to the same taxes as Spanish citizens, without prejudice to the international agreements on double taxation.</w:t>
      </w:r>
      <w:r w:rsidRPr="00D53AFE">
        <w:rPr>
          <w:rStyle w:val="FootnoteReference"/>
          <w:color w:val="000000" w:themeColor="text1"/>
          <w:lang w:val="en-GB"/>
        </w:rPr>
        <w:footnoteReference w:id="29"/>
      </w:r>
    </w:p>
    <w:p w14:paraId="1AB0DABF" w14:textId="77777777" w:rsidR="00B86E7F" w:rsidRPr="00D53AFE" w:rsidRDefault="00B86E7F" w:rsidP="00CD7EF7">
      <w:pPr>
        <w:spacing w:after="0" w:line="240" w:lineRule="auto"/>
        <w:rPr>
          <w:b/>
          <w:i/>
          <w:sz w:val="22"/>
          <w:szCs w:val="22"/>
        </w:rPr>
      </w:pPr>
    </w:p>
    <w:p w14:paraId="0812E29B" w14:textId="77777777" w:rsidR="000324B9" w:rsidRPr="00D53AFE" w:rsidRDefault="005C656C" w:rsidP="00CD7EF7">
      <w:pPr>
        <w:spacing w:after="0" w:line="240" w:lineRule="auto"/>
        <w:rPr>
          <w:b/>
          <w:i/>
          <w:sz w:val="22"/>
          <w:szCs w:val="22"/>
        </w:rPr>
      </w:pPr>
      <w:r w:rsidRPr="00D53AFE">
        <w:rPr>
          <w:b/>
          <w:i/>
          <w:sz w:val="22"/>
          <w:szCs w:val="22"/>
        </w:rPr>
        <w:lastRenderedPageBreak/>
        <w:t>Other matters</w:t>
      </w:r>
    </w:p>
    <w:p w14:paraId="6BA47F81" w14:textId="77777777" w:rsidR="000324B9" w:rsidRPr="00D53AFE" w:rsidRDefault="000324B9" w:rsidP="00CD7EF7">
      <w:pPr>
        <w:spacing w:after="0" w:line="240" w:lineRule="auto"/>
        <w:rPr>
          <w:i/>
          <w:sz w:val="22"/>
          <w:szCs w:val="22"/>
          <w:u w:val="single"/>
        </w:rPr>
      </w:pPr>
    </w:p>
    <w:p w14:paraId="3443F5A9" w14:textId="365B67A9" w:rsidR="00A15D57" w:rsidRPr="00D53AFE" w:rsidRDefault="000324B9" w:rsidP="00CD7EF7">
      <w:pPr>
        <w:spacing w:after="0" w:line="240" w:lineRule="auto"/>
        <w:rPr>
          <w:b/>
          <w:i/>
          <w:sz w:val="22"/>
          <w:szCs w:val="22"/>
        </w:rPr>
      </w:pPr>
      <w:r w:rsidRPr="00D53AFE">
        <w:rPr>
          <w:i/>
          <w:sz w:val="22"/>
          <w:szCs w:val="22"/>
          <w:u w:val="single"/>
        </w:rPr>
        <w:t>L</w:t>
      </w:r>
      <w:r w:rsidR="00A15D57" w:rsidRPr="00D53AFE">
        <w:rPr>
          <w:i/>
          <w:sz w:val="22"/>
          <w:szCs w:val="22"/>
          <w:u w:val="single"/>
        </w:rPr>
        <w:t>ink to citizenship</w:t>
      </w:r>
    </w:p>
    <w:p w14:paraId="5EDAC323" w14:textId="2C0D1116" w:rsidR="00091D17" w:rsidRPr="00D53AFE" w:rsidRDefault="00B86E7F" w:rsidP="00CD7EF7">
      <w:pPr>
        <w:widowControl w:val="0"/>
        <w:spacing w:after="0" w:line="240" w:lineRule="auto"/>
        <w:jc w:val="both"/>
        <w:rPr>
          <w:rFonts w:eastAsia="Times New Roman"/>
          <w:bCs/>
          <w:color w:val="000000"/>
          <w:sz w:val="22"/>
          <w:szCs w:val="22"/>
          <w:lang w:eastAsia="fr-FR"/>
        </w:rPr>
      </w:pPr>
      <w:r w:rsidRPr="00D53AFE">
        <w:rPr>
          <w:rFonts w:eastAsia="Times New Roman"/>
          <w:bCs/>
          <w:color w:val="000000"/>
          <w:sz w:val="22"/>
          <w:szCs w:val="22"/>
          <w:lang w:eastAsia="fr-FR"/>
        </w:rPr>
        <w:t>Law 14/2013 do</w:t>
      </w:r>
      <w:r w:rsidR="002D6D41" w:rsidRPr="00D53AFE">
        <w:rPr>
          <w:rFonts w:eastAsia="Times New Roman"/>
          <w:bCs/>
          <w:color w:val="000000"/>
          <w:sz w:val="22"/>
          <w:szCs w:val="22"/>
          <w:lang w:eastAsia="fr-FR"/>
        </w:rPr>
        <w:t>es</w:t>
      </w:r>
      <w:r w:rsidRPr="00D53AFE">
        <w:rPr>
          <w:rFonts w:eastAsia="Times New Roman"/>
          <w:bCs/>
          <w:color w:val="000000"/>
          <w:sz w:val="22"/>
          <w:szCs w:val="22"/>
          <w:lang w:eastAsia="fr-FR"/>
        </w:rPr>
        <w:t xml:space="preserve"> not modify the rules on accession to citizenship</w:t>
      </w:r>
      <w:r w:rsidR="00C46BD7" w:rsidRPr="00D53AFE">
        <w:rPr>
          <w:rFonts w:eastAsia="Times New Roman"/>
          <w:bCs/>
          <w:color w:val="000000"/>
          <w:sz w:val="22"/>
          <w:szCs w:val="22"/>
          <w:lang w:eastAsia="fr-FR"/>
        </w:rPr>
        <w:t>.</w:t>
      </w:r>
      <w:r w:rsidRPr="00D53AFE">
        <w:rPr>
          <w:rFonts w:eastAsia="Times New Roman"/>
          <w:bCs/>
          <w:color w:val="000000"/>
          <w:sz w:val="22"/>
          <w:szCs w:val="22"/>
          <w:lang w:eastAsia="fr-FR"/>
        </w:rPr>
        <w:t xml:space="preserve"> Therefore, </w:t>
      </w:r>
      <w:r w:rsidR="00140587" w:rsidRPr="00D53AFE">
        <w:rPr>
          <w:rFonts w:eastAsia="Times New Roman"/>
          <w:bCs/>
          <w:color w:val="000000"/>
          <w:sz w:val="22"/>
          <w:szCs w:val="22"/>
          <w:lang w:eastAsia="fr-FR"/>
        </w:rPr>
        <w:t>t</w:t>
      </w:r>
      <w:r w:rsidRPr="00D53AFE">
        <w:rPr>
          <w:rFonts w:eastAsia="Times New Roman"/>
          <w:bCs/>
          <w:color w:val="000000"/>
          <w:sz w:val="22"/>
          <w:szCs w:val="22"/>
          <w:lang w:eastAsia="fr-FR"/>
        </w:rPr>
        <w:t xml:space="preserve">he general rules on Spanish citizenship set out in the </w:t>
      </w:r>
      <w:r w:rsidRPr="00D53AFE">
        <w:rPr>
          <w:rFonts w:eastAsia="Times New Roman"/>
          <w:b/>
          <w:bCs/>
          <w:color w:val="000000"/>
          <w:sz w:val="22"/>
          <w:szCs w:val="22"/>
          <w:lang w:eastAsia="fr-FR"/>
        </w:rPr>
        <w:t>Civil Code</w:t>
      </w:r>
      <w:r w:rsidRPr="00D53AFE">
        <w:rPr>
          <w:rFonts w:eastAsia="Times New Roman"/>
          <w:bCs/>
          <w:color w:val="000000"/>
          <w:sz w:val="22"/>
          <w:szCs w:val="22"/>
          <w:lang w:eastAsia="fr-FR"/>
        </w:rPr>
        <w:t xml:space="preserve"> apply.</w:t>
      </w:r>
      <w:r w:rsidRPr="00D53AFE">
        <w:rPr>
          <w:rFonts w:eastAsia="Times New Roman"/>
          <w:bCs/>
          <w:color w:val="000000"/>
          <w:sz w:val="22"/>
          <w:szCs w:val="22"/>
          <w:vertAlign w:val="superscript"/>
          <w:lang w:eastAsia="fr-FR"/>
        </w:rPr>
        <w:footnoteReference w:id="30"/>
      </w:r>
      <w:r w:rsidRPr="00D53AFE">
        <w:rPr>
          <w:rFonts w:eastAsia="Times New Roman"/>
          <w:bCs/>
          <w:color w:val="000000"/>
          <w:sz w:val="22"/>
          <w:szCs w:val="22"/>
          <w:lang w:eastAsia="fr-FR"/>
        </w:rPr>
        <w:t xml:space="preserve"> </w:t>
      </w:r>
      <w:r w:rsidR="00871EF3" w:rsidRPr="00D53AFE">
        <w:rPr>
          <w:rFonts w:eastAsia="Times New Roman"/>
          <w:bCs/>
          <w:color w:val="000000"/>
          <w:sz w:val="22"/>
          <w:szCs w:val="22"/>
          <w:lang w:eastAsia="fr-FR"/>
        </w:rPr>
        <w:t>Foreigner</w:t>
      </w:r>
      <w:r w:rsidR="00C46BD7" w:rsidRPr="00D53AFE">
        <w:rPr>
          <w:rFonts w:eastAsia="Times New Roman"/>
          <w:bCs/>
          <w:color w:val="000000"/>
          <w:sz w:val="22"/>
          <w:szCs w:val="22"/>
          <w:lang w:eastAsia="fr-FR"/>
        </w:rPr>
        <w:t xml:space="preserve"> investor</w:t>
      </w:r>
      <w:r w:rsidR="00871EF3" w:rsidRPr="00D53AFE">
        <w:rPr>
          <w:rFonts w:eastAsia="Times New Roman"/>
          <w:bCs/>
          <w:color w:val="000000"/>
          <w:sz w:val="22"/>
          <w:szCs w:val="22"/>
          <w:lang w:eastAsia="fr-FR"/>
        </w:rPr>
        <w:t>s can</w:t>
      </w:r>
      <w:r w:rsidR="00091D17" w:rsidRPr="00D53AFE">
        <w:rPr>
          <w:rFonts w:eastAsia="Times New Roman"/>
          <w:bCs/>
          <w:color w:val="000000"/>
          <w:sz w:val="22"/>
          <w:szCs w:val="22"/>
          <w:lang w:eastAsia="fr-FR"/>
        </w:rPr>
        <w:t xml:space="preserve"> apply for Spanish citizenship </w:t>
      </w:r>
      <w:r w:rsidR="00091D17" w:rsidRPr="00D53AFE">
        <w:rPr>
          <w:rFonts w:eastAsia="Times New Roman"/>
          <w:b/>
          <w:bCs/>
          <w:color w:val="000000"/>
          <w:sz w:val="22"/>
          <w:szCs w:val="22"/>
          <w:lang w:eastAsia="fr-FR"/>
        </w:rPr>
        <w:t>when they have resided in Spain for at least ten years immediately before submission of the request</w:t>
      </w:r>
      <w:r w:rsidR="00091D17" w:rsidRPr="00D53AFE" w:rsidDel="00593496">
        <w:rPr>
          <w:rFonts w:eastAsia="Times New Roman"/>
          <w:b/>
          <w:bCs/>
          <w:color w:val="000000"/>
          <w:sz w:val="22"/>
          <w:szCs w:val="22"/>
          <w:lang w:eastAsia="fr-FR"/>
        </w:rPr>
        <w:t xml:space="preserve"> </w:t>
      </w:r>
      <w:r w:rsidR="00091D17" w:rsidRPr="00D53AFE">
        <w:rPr>
          <w:rFonts w:eastAsia="Times New Roman"/>
          <w:b/>
          <w:bCs/>
          <w:color w:val="000000"/>
          <w:sz w:val="22"/>
          <w:szCs w:val="22"/>
          <w:lang w:eastAsia="fr-FR"/>
        </w:rPr>
        <w:t>on a legal and continuous basis</w:t>
      </w:r>
      <w:r w:rsidR="00091D17" w:rsidRPr="00D53AFE">
        <w:rPr>
          <w:rFonts w:eastAsia="Times New Roman"/>
          <w:bCs/>
          <w:color w:val="000000"/>
          <w:sz w:val="22"/>
          <w:szCs w:val="22"/>
          <w:lang w:eastAsia="fr-FR"/>
        </w:rPr>
        <w:t>.</w:t>
      </w:r>
      <w:r w:rsidR="00091D17" w:rsidRPr="00D53AFE">
        <w:rPr>
          <w:rFonts w:eastAsia="Times New Roman"/>
          <w:bCs/>
          <w:color w:val="000000"/>
          <w:sz w:val="22"/>
          <w:szCs w:val="22"/>
          <w:vertAlign w:val="superscript"/>
          <w:lang w:eastAsia="fr-FR"/>
        </w:rPr>
        <w:footnoteReference w:id="31"/>
      </w:r>
      <w:r w:rsidR="00091D17" w:rsidRPr="00D53AFE">
        <w:rPr>
          <w:rFonts w:eastAsia="Times New Roman"/>
          <w:bCs/>
          <w:color w:val="000000"/>
          <w:sz w:val="22"/>
          <w:szCs w:val="22"/>
          <w:lang w:eastAsia="fr-FR"/>
        </w:rPr>
        <w:t xml:space="preserve"> This ten-year period is reduced to: </w:t>
      </w:r>
      <w:r w:rsidR="00091D17" w:rsidRPr="00D53AFE">
        <w:rPr>
          <w:rFonts w:eastAsia="Times New Roman"/>
          <w:b/>
          <w:bCs/>
          <w:color w:val="000000"/>
          <w:sz w:val="22"/>
          <w:szCs w:val="22"/>
          <w:lang w:eastAsia="fr-FR"/>
        </w:rPr>
        <w:t>two years</w:t>
      </w:r>
      <w:r w:rsidR="00091D17" w:rsidRPr="00D53AFE">
        <w:rPr>
          <w:rFonts w:eastAsia="Times New Roman"/>
          <w:bCs/>
          <w:color w:val="000000"/>
          <w:sz w:val="22"/>
          <w:szCs w:val="22"/>
          <w:lang w:eastAsia="fr-FR"/>
        </w:rPr>
        <w:t xml:space="preserve"> for citizens of Ibero-American countries, Andorra, the Philippines, Equatorial Guinea, Portugal or Sephardi Jews; and to </w:t>
      </w:r>
      <w:r w:rsidR="00091D17" w:rsidRPr="00D53AFE">
        <w:rPr>
          <w:rFonts w:eastAsia="Times New Roman"/>
          <w:b/>
          <w:bCs/>
          <w:color w:val="000000"/>
          <w:sz w:val="22"/>
          <w:szCs w:val="22"/>
          <w:lang w:eastAsia="fr-FR"/>
        </w:rPr>
        <w:t>one year</w:t>
      </w:r>
      <w:r w:rsidR="00091D17" w:rsidRPr="00D53AFE">
        <w:rPr>
          <w:rFonts w:eastAsia="Times New Roman"/>
          <w:bCs/>
          <w:color w:val="000000"/>
          <w:sz w:val="22"/>
          <w:szCs w:val="22"/>
          <w:lang w:eastAsia="fr-FR"/>
        </w:rPr>
        <w:t xml:space="preserve"> when at the time of the request, the applicant has been married for at least one year to a Spanish citizen and is not legally or de facto separated or if the applicant is the widow/er of a Spanish citizen and at the time of the death of the spouse were not legally or de facto separated.</w:t>
      </w:r>
    </w:p>
    <w:p w14:paraId="097CF1F5" w14:textId="77777777" w:rsidR="00091D17" w:rsidRPr="00D53AFE" w:rsidRDefault="00091D17" w:rsidP="00CD7EF7">
      <w:pPr>
        <w:widowControl w:val="0"/>
        <w:spacing w:after="0" w:line="240" w:lineRule="auto"/>
        <w:jc w:val="both"/>
        <w:rPr>
          <w:rFonts w:eastAsia="Times New Roman"/>
          <w:bCs/>
          <w:color w:val="000000"/>
          <w:sz w:val="22"/>
          <w:szCs w:val="22"/>
          <w:lang w:eastAsia="fr-FR"/>
        </w:rPr>
      </w:pPr>
    </w:p>
    <w:p w14:paraId="5F92E083" w14:textId="5AAEA893" w:rsidR="00091D17" w:rsidRPr="00D53AFE" w:rsidRDefault="002B0004" w:rsidP="00CD7EF7">
      <w:pPr>
        <w:widowControl w:val="0"/>
        <w:spacing w:after="0" w:line="240" w:lineRule="auto"/>
        <w:jc w:val="both"/>
        <w:rPr>
          <w:rFonts w:eastAsia="Times New Roman"/>
          <w:bCs/>
          <w:color w:val="000000"/>
          <w:sz w:val="22"/>
          <w:szCs w:val="22"/>
          <w:lang w:eastAsia="fr-FR"/>
        </w:rPr>
      </w:pPr>
      <w:r w:rsidRPr="00D53AFE">
        <w:rPr>
          <w:rFonts w:eastAsia="Times New Roman"/>
          <w:bCs/>
          <w:color w:val="000000"/>
          <w:sz w:val="22"/>
          <w:szCs w:val="22"/>
          <w:lang w:eastAsia="fr-FR"/>
        </w:rPr>
        <w:t>A</w:t>
      </w:r>
      <w:r w:rsidR="00156D45" w:rsidRPr="00D53AFE">
        <w:rPr>
          <w:rFonts w:eastAsia="Times New Roman"/>
          <w:bCs/>
          <w:color w:val="000000"/>
          <w:sz w:val="22"/>
          <w:szCs w:val="22"/>
          <w:lang w:eastAsia="fr-FR"/>
        </w:rPr>
        <w:t>pplicants</w:t>
      </w:r>
      <w:r w:rsidR="00091D17" w:rsidRPr="00D53AFE">
        <w:rPr>
          <w:rFonts w:eastAsia="Times New Roman"/>
          <w:bCs/>
          <w:color w:val="000000"/>
          <w:sz w:val="22"/>
          <w:szCs w:val="22"/>
          <w:lang w:eastAsia="fr-FR"/>
        </w:rPr>
        <w:t xml:space="preserve"> must</w:t>
      </w:r>
      <w:r w:rsidRPr="00D53AFE">
        <w:rPr>
          <w:rFonts w:eastAsia="Times New Roman"/>
          <w:bCs/>
          <w:color w:val="000000"/>
          <w:sz w:val="22"/>
          <w:szCs w:val="22"/>
          <w:lang w:eastAsia="fr-FR"/>
        </w:rPr>
        <w:t xml:space="preserve"> also</w:t>
      </w:r>
      <w:r w:rsidR="00091D17" w:rsidRPr="00D53AFE">
        <w:rPr>
          <w:rFonts w:eastAsia="Times New Roman"/>
          <w:bCs/>
          <w:color w:val="000000"/>
          <w:sz w:val="22"/>
          <w:szCs w:val="22"/>
          <w:lang w:eastAsia="fr-FR"/>
        </w:rPr>
        <w:t xml:space="preserve"> fulfil the following </w:t>
      </w:r>
      <w:r w:rsidR="00091D17" w:rsidRPr="00D53AFE">
        <w:rPr>
          <w:rFonts w:eastAsia="Times New Roman"/>
          <w:b/>
          <w:bCs/>
          <w:color w:val="000000"/>
          <w:sz w:val="22"/>
          <w:szCs w:val="22"/>
          <w:lang w:eastAsia="fr-FR"/>
        </w:rPr>
        <w:t>requirements</w:t>
      </w:r>
      <w:r w:rsidR="00091D17" w:rsidRPr="00D53AFE">
        <w:rPr>
          <w:rFonts w:eastAsia="Times New Roman"/>
          <w:bCs/>
          <w:color w:val="000000"/>
          <w:sz w:val="22"/>
          <w:szCs w:val="22"/>
          <w:lang w:eastAsia="fr-FR"/>
        </w:rPr>
        <w:t>:</w:t>
      </w:r>
      <w:r w:rsidR="00091D17" w:rsidRPr="00D53AFE">
        <w:rPr>
          <w:rFonts w:eastAsia="Times New Roman"/>
          <w:bCs/>
          <w:color w:val="000000"/>
          <w:sz w:val="22"/>
          <w:szCs w:val="22"/>
          <w:vertAlign w:val="superscript"/>
          <w:lang w:eastAsia="fr-FR"/>
        </w:rPr>
        <w:footnoteReference w:id="32"/>
      </w:r>
      <w:r w:rsidR="00C46BD7" w:rsidRPr="00D53AFE">
        <w:rPr>
          <w:rFonts w:eastAsia="Times New Roman"/>
          <w:bCs/>
          <w:color w:val="000000"/>
          <w:sz w:val="22"/>
          <w:szCs w:val="22"/>
          <w:lang w:eastAsia="fr-FR"/>
        </w:rPr>
        <w:t xml:space="preserve"> </w:t>
      </w:r>
      <w:r w:rsidR="00091D17" w:rsidRPr="00D53AFE">
        <w:rPr>
          <w:rFonts w:eastAsia="Times New Roman"/>
          <w:bCs/>
          <w:color w:val="000000"/>
          <w:sz w:val="22"/>
          <w:szCs w:val="22"/>
          <w:lang w:eastAsia="fr-FR"/>
        </w:rPr>
        <w:t>justify good civic conduct and sufficient degree of integration in Spanish society;</w:t>
      </w:r>
      <w:r w:rsidR="00C46BD7" w:rsidRPr="00D53AFE">
        <w:rPr>
          <w:rFonts w:eastAsia="Times New Roman"/>
          <w:bCs/>
          <w:color w:val="000000"/>
          <w:sz w:val="22"/>
          <w:szCs w:val="22"/>
          <w:lang w:eastAsia="fr-FR"/>
        </w:rPr>
        <w:t xml:space="preserve"> </w:t>
      </w:r>
      <w:r w:rsidR="00091D17" w:rsidRPr="00D53AFE">
        <w:rPr>
          <w:rFonts w:eastAsia="Times New Roman"/>
          <w:bCs/>
          <w:color w:val="000000"/>
          <w:sz w:val="22"/>
          <w:szCs w:val="22"/>
          <w:lang w:eastAsia="fr-FR"/>
        </w:rPr>
        <w:t xml:space="preserve">if above 14 years of age and able to give testimony, </w:t>
      </w:r>
      <w:r w:rsidR="00156D45" w:rsidRPr="00D53AFE">
        <w:rPr>
          <w:rFonts w:eastAsia="Times New Roman"/>
          <w:bCs/>
          <w:color w:val="000000"/>
          <w:sz w:val="22"/>
          <w:szCs w:val="22"/>
          <w:lang w:eastAsia="fr-FR"/>
        </w:rPr>
        <w:t xml:space="preserve">take </w:t>
      </w:r>
      <w:r w:rsidR="00091D17" w:rsidRPr="00D53AFE">
        <w:rPr>
          <w:rFonts w:eastAsia="Times New Roman"/>
          <w:bCs/>
          <w:color w:val="000000"/>
          <w:sz w:val="22"/>
          <w:szCs w:val="22"/>
          <w:lang w:eastAsia="fr-FR"/>
        </w:rPr>
        <w:t xml:space="preserve">an </w:t>
      </w:r>
      <w:r w:rsidR="00091D17" w:rsidRPr="00D53AFE">
        <w:rPr>
          <w:rFonts w:eastAsia="Times New Roman"/>
          <w:b/>
          <w:bCs/>
          <w:color w:val="000000"/>
          <w:sz w:val="22"/>
          <w:szCs w:val="22"/>
          <w:lang w:eastAsia="fr-FR"/>
        </w:rPr>
        <w:t>oath of allegiance</w:t>
      </w:r>
      <w:r w:rsidR="00091D17" w:rsidRPr="00D53AFE">
        <w:rPr>
          <w:rFonts w:eastAsia="Times New Roman"/>
          <w:bCs/>
          <w:color w:val="000000"/>
          <w:sz w:val="22"/>
          <w:szCs w:val="22"/>
          <w:lang w:eastAsia="fr-FR"/>
        </w:rPr>
        <w:t xml:space="preserve"> (swear or promise fidelity to the King and obedience to the Constitution and laws);</w:t>
      </w:r>
      <w:r w:rsidR="00C46BD7" w:rsidRPr="00D53AFE">
        <w:rPr>
          <w:rFonts w:eastAsia="Times New Roman"/>
          <w:bCs/>
          <w:color w:val="000000"/>
          <w:sz w:val="22"/>
          <w:szCs w:val="22"/>
          <w:lang w:eastAsia="fr-FR"/>
        </w:rPr>
        <w:t xml:space="preserve"> </w:t>
      </w:r>
      <w:r w:rsidR="00091D17" w:rsidRPr="00D53AFE">
        <w:rPr>
          <w:rFonts w:eastAsia="Times New Roman"/>
          <w:b/>
          <w:bCs/>
          <w:color w:val="000000"/>
          <w:sz w:val="22"/>
          <w:szCs w:val="22"/>
          <w:lang w:eastAsia="fr-FR"/>
        </w:rPr>
        <w:t>renounce their previous citizenship</w:t>
      </w:r>
      <w:r w:rsidR="00091D17" w:rsidRPr="00D53AFE">
        <w:rPr>
          <w:rFonts w:eastAsia="Times New Roman"/>
          <w:bCs/>
          <w:color w:val="000000"/>
          <w:sz w:val="22"/>
          <w:szCs w:val="22"/>
          <w:lang w:eastAsia="fr-FR"/>
        </w:rPr>
        <w:t>, except for persons coming from Ibero-American countries, Andorra, the Philippines, Equatorial Guinea, Portugal or who are Sephardi Jews;</w:t>
      </w:r>
      <w:r w:rsidR="00C46BD7" w:rsidRPr="00D53AFE">
        <w:rPr>
          <w:rFonts w:eastAsia="Times New Roman"/>
          <w:bCs/>
          <w:color w:val="000000"/>
          <w:sz w:val="22"/>
          <w:szCs w:val="22"/>
          <w:lang w:eastAsia="fr-FR"/>
        </w:rPr>
        <w:t xml:space="preserve"> </w:t>
      </w:r>
      <w:r w:rsidRPr="00D53AFE">
        <w:rPr>
          <w:rFonts w:eastAsia="Times New Roman"/>
          <w:bCs/>
          <w:color w:val="000000"/>
          <w:sz w:val="22"/>
          <w:szCs w:val="22"/>
          <w:lang w:eastAsia="fr-FR"/>
        </w:rPr>
        <w:t xml:space="preserve">and </w:t>
      </w:r>
      <w:r w:rsidR="00091D17" w:rsidRPr="00D53AFE">
        <w:rPr>
          <w:rFonts w:eastAsia="Times New Roman"/>
          <w:bCs/>
          <w:color w:val="000000"/>
          <w:sz w:val="22"/>
          <w:szCs w:val="22"/>
          <w:lang w:eastAsia="fr-FR"/>
        </w:rPr>
        <w:t>register their Spanish nationality in the Civil Register.</w:t>
      </w:r>
    </w:p>
    <w:p w14:paraId="1AA9BDBE" w14:textId="45B8EB32" w:rsidR="00B86E7F" w:rsidRPr="00D53AFE" w:rsidRDefault="00B86E7F" w:rsidP="00CD7EF7">
      <w:pPr>
        <w:spacing w:after="0" w:line="240" w:lineRule="auto"/>
        <w:jc w:val="both"/>
        <w:rPr>
          <w:sz w:val="22"/>
          <w:szCs w:val="22"/>
        </w:rPr>
      </w:pPr>
    </w:p>
    <w:p w14:paraId="6223C038" w14:textId="38C5402B" w:rsidR="00A15D57" w:rsidRPr="00D53AFE" w:rsidRDefault="00A15D57" w:rsidP="00CD7EF7">
      <w:pPr>
        <w:spacing w:after="0" w:line="240" w:lineRule="auto"/>
        <w:jc w:val="both"/>
        <w:rPr>
          <w:i/>
          <w:sz w:val="22"/>
          <w:szCs w:val="22"/>
          <w:u w:val="single"/>
        </w:rPr>
      </w:pPr>
      <w:r w:rsidRPr="00D53AFE">
        <w:rPr>
          <w:i/>
          <w:sz w:val="22"/>
          <w:szCs w:val="22"/>
          <w:u w:val="single"/>
        </w:rPr>
        <w:t>Statistics and economic impact</w:t>
      </w:r>
    </w:p>
    <w:p w14:paraId="608BCFD0" w14:textId="214641B7" w:rsidR="00C55F34" w:rsidRPr="00D53AFE" w:rsidRDefault="00C46BD7" w:rsidP="00CD7EF7">
      <w:pPr>
        <w:spacing w:after="0" w:line="240" w:lineRule="auto"/>
        <w:jc w:val="both"/>
        <w:rPr>
          <w:rFonts w:eastAsia="Times New Roman"/>
          <w:bCs/>
          <w:sz w:val="22"/>
          <w:szCs w:val="22"/>
          <w:lang w:eastAsia="fr-FR"/>
        </w:rPr>
      </w:pPr>
      <w:r w:rsidRPr="00D53AFE">
        <w:rPr>
          <w:rFonts w:eastAsia="Times New Roman"/>
          <w:b/>
          <w:sz w:val="22"/>
          <w:szCs w:val="22"/>
          <w:lang w:eastAsia="fr-FR"/>
        </w:rPr>
        <w:t>S</w:t>
      </w:r>
      <w:r w:rsidR="00C55F34" w:rsidRPr="00D53AFE">
        <w:rPr>
          <w:rFonts w:eastAsia="Times New Roman"/>
          <w:b/>
          <w:bCs/>
          <w:sz w:val="22"/>
          <w:szCs w:val="22"/>
          <w:lang w:eastAsia="fr-FR"/>
        </w:rPr>
        <w:t>tatistics</w:t>
      </w:r>
      <w:r w:rsidR="00C55F34" w:rsidRPr="00D53AFE">
        <w:rPr>
          <w:rFonts w:eastAsia="Times New Roman"/>
          <w:bCs/>
          <w:sz w:val="22"/>
          <w:szCs w:val="22"/>
          <w:lang w:eastAsia="fr-FR"/>
        </w:rPr>
        <w:t xml:space="preserve"> are publicly available. The </w:t>
      </w:r>
      <w:r w:rsidR="008F2ACB" w:rsidRPr="00D53AFE">
        <w:rPr>
          <w:rFonts w:eastAsia="Times New Roman"/>
          <w:bCs/>
          <w:sz w:val="22"/>
          <w:szCs w:val="22"/>
          <w:lang w:eastAsia="fr-FR"/>
        </w:rPr>
        <w:t xml:space="preserve">MESS </w:t>
      </w:r>
      <w:r w:rsidR="00C55F34" w:rsidRPr="00D53AFE">
        <w:rPr>
          <w:rFonts w:eastAsia="Times New Roman"/>
          <w:bCs/>
          <w:sz w:val="22"/>
          <w:szCs w:val="22"/>
          <w:lang w:eastAsia="fr-FR"/>
        </w:rPr>
        <w:t>2015 Report</w:t>
      </w:r>
      <w:r w:rsidR="00C55F34" w:rsidRPr="00D53AFE">
        <w:rPr>
          <w:rFonts w:eastAsia="Times New Roman"/>
          <w:bCs/>
          <w:sz w:val="22"/>
          <w:szCs w:val="22"/>
          <w:vertAlign w:val="superscript"/>
          <w:lang w:eastAsia="fr-FR"/>
        </w:rPr>
        <w:footnoteReference w:id="33"/>
      </w:r>
      <w:r w:rsidR="00C55F34" w:rsidRPr="00D53AFE">
        <w:rPr>
          <w:rFonts w:eastAsia="Times New Roman"/>
          <w:bCs/>
          <w:sz w:val="22"/>
          <w:szCs w:val="22"/>
          <w:lang w:eastAsia="fr-FR"/>
        </w:rPr>
        <w:t xml:space="preserve"> </w:t>
      </w:r>
      <w:r w:rsidR="008F2ACB" w:rsidRPr="00D53AFE">
        <w:rPr>
          <w:rFonts w:eastAsia="Times New Roman"/>
          <w:bCs/>
          <w:sz w:val="22"/>
          <w:szCs w:val="22"/>
          <w:lang w:eastAsia="fr-FR"/>
        </w:rPr>
        <w:t>states</w:t>
      </w:r>
      <w:r w:rsidR="00C55F34" w:rsidRPr="00D53AFE">
        <w:rPr>
          <w:rFonts w:eastAsia="Times New Roman"/>
          <w:bCs/>
          <w:sz w:val="22"/>
          <w:szCs w:val="22"/>
          <w:lang w:eastAsia="fr-FR"/>
        </w:rPr>
        <w:t xml:space="preserve"> that between 30 September 2013 and 31 December 2014</w:t>
      </w:r>
      <w:r w:rsidR="008F2ACB" w:rsidRPr="00D53AFE">
        <w:rPr>
          <w:rFonts w:eastAsia="Times New Roman"/>
          <w:bCs/>
          <w:sz w:val="22"/>
          <w:szCs w:val="22"/>
          <w:lang w:eastAsia="fr-FR"/>
        </w:rPr>
        <w:t xml:space="preserve">, </w:t>
      </w:r>
      <w:r w:rsidR="00C55F34" w:rsidRPr="00D53AFE">
        <w:rPr>
          <w:rFonts w:eastAsia="Times New Roman"/>
          <w:bCs/>
          <w:sz w:val="22"/>
          <w:szCs w:val="22"/>
          <w:lang w:eastAsia="fr-FR"/>
        </w:rPr>
        <w:t>531 visa and/or residence authorisations were granted to investors (this data does not include family members). This represents 17% of all visa types included in Article 61 of Law 14/2013 (investors, entrepreneurship, highly qualified professionals, research and intra-corporate transfers). The total value of investments was EUR 446,843,921.</w:t>
      </w:r>
    </w:p>
    <w:p w14:paraId="7B2594E1" w14:textId="3921FCA3" w:rsidR="00B86E7F" w:rsidRPr="00D53AFE" w:rsidRDefault="00B86E7F" w:rsidP="00CD7EF7">
      <w:pPr>
        <w:spacing w:after="0" w:line="240" w:lineRule="auto"/>
        <w:jc w:val="both"/>
        <w:rPr>
          <w:sz w:val="22"/>
          <w:szCs w:val="22"/>
        </w:rPr>
      </w:pPr>
    </w:p>
    <w:p w14:paraId="23BC2911" w14:textId="5C489FF1" w:rsidR="00C55F34" w:rsidRPr="00D53AFE" w:rsidRDefault="00C55F34" w:rsidP="00CD7EF7">
      <w:pPr>
        <w:widowControl w:val="0"/>
        <w:spacing w:after="0" w:line="240" w:lineRule="auto"/>
        <w:jc w:val="both"/>
        <w:rPr>
          <w:rFonts w:eastAsia="Times New Roman"/>
          <w:bCs/>
          <w:color w:val="000000"/>
          <w:sz w:val="22"/>
          <w:szCs w:val="22"/>
          <w:lang w:eastAsia="fr-FR"/>
        </w:rPr>
      </w:pPr>
      <w:r w:rsidRPr="00D53AFE">
        <w:rPr>
          <w:rFonts w:eastAsia="Times New Roman"/>
          <w:bCs/>
          <w:color w:val="000000"/>
          <w:sz w:val="22"/>
          <w:szCs w:val="22"/>
          <w:lang w:eastAsia="fr-FR"/>
        </w:rPr>
        <w:t>More recent statistics were reported in newspaper articles on the basis of a Report of the Ministry of Economy.</w:t>
      </w:r>
      <w:r w:rsidRPr="00D53AFE">
        <w:rPr>
          <w:rFonts w:eastAsia="Times New Roman"/>
          <w:bCs/>
          <w:color w:val="000000"/>
          <w:sz w:val="22"/>
          <w:szCs w:val="22"/>
          <w:vertAlign w:val="superscript"/>
          <w:lang w:eastAsia="fr-FR"/>
        </w:rPr>
        <w:footnoteReference w:id="34"/>
      </w:r>
      <w:r w:rsidRPr="00D53AFE">
        <w:rPr>
          <w:rFonts w:eastAsia="Times New Roman"/>
          <w:bCs/>
          <w:color w:val="000000"/>
          <w:sz w:val="22"/>
          <w:szCs w:val="22"/>
          <w:lang w:eastAsia="fr-FR"/>
        </w:rPr>
        <w:t xml:space="preserve"> However, the </w:t>
      </w:r>
      <w:r w:rsidR="002B0004" w:rsidRPr="00D53AFE">
        <w:rPr>
          <w:rFonts w:eastAsia="Times New Roman"/>
          <w:bCs/>
          <w:color w:val="000000"/>
          <w:sz w:val="22"/>
          <w:szCs w:val="22"/>
          <w:lang w:eastAsia="fr-FR"/>
        </w:rPr>
        <w:t>report</w:t>
      </w:r>
      <w:r w:rsidRPr="00D53AFE">
        <w:rPr>
          <w:rFonts w:eastAsia="Times New Roman"/>
          <w:bCs/>
          <w:color w:val="000000"/>
          <w:sz w:val="22"/>
          <w:szCs w:val="22"/>
          <w:lang w:eastAsia="fr-FR"/>
        </w:rPr>
        <w:t xml:space="preserve"> has not been found</w:t>
      </w:r>
      <w:r w:rsidR="00091D17" w:rsidRPr="00D53AFE">
        <w:rPr>
          <w:rFonts w:eastAsia="Times New Roman"/>
          <w:bCs/>
          <w:color w:val="000000"/>
          <w:sz w:val="22"/>
          <w:szCs w:val="22"/>
          <w:lang w:eastAsia="fr-FR"/>
        </w:rPr>
        <w:t xml:space="preserve"> and </w:t>
      </w:r>
      <w:r w:rsidR="002B0004" w:rsidRPr="00D53AFE">
        <w:rPr>
          <w:rFonts w:eastAsia="Times New Roman"/>
          <w:bCs/>
          <w:color w:val="000000"/>
          <w:sz w:val="22"/>
          <w:szCs w:val="22"/>
          <w:lang w:eastAsia="fr-FR"/>
        </w:rPr>
        <w:t>its existence</w:t>
      </w:r>
      <w:r w:rsidRPr="00D53AFE">
        <w:rPr>
          <w:rFonts w:eastAsia="Times New Roman"/>
          <w:bCs/>
          <w:color w:val="000000"/>
          <w:sz w:val="22"/>
          <w:szCs w:val="22"/>
          <w:lang w:eastAsia="fr-FR"/>
        </w:rPr>
        <w:t xml:space="preserve"> </w:t>
      </w:r>
      <w:r w:rsidR="00091D17" w:rsidRPr="00D53AFE">
        <w:rPr>
          <w:rFonts w:eastAsia="Times New Roman"/>
          <w:bCs/>
          <w:color w:val="000000"/>
          <w:sz w:val="22"/>
          <w:szCs w:val="22"/>
          <w:lang w:eastAsia="fr-FR"/>
        </w:rPr>
        <w:t>could not be confirmed by the competent authority</w:t>
      </w:r>
      <w:r w:rsidRPr="00D53AFE">
        <w:rPr>
          <w:rFonts w:eastAsia="Times New Roman"/>
          <w:bCs/>
          <w:color w:val="000000"/>
          <w:sz w:val="22"/>
          <w:szCs w:val="22"/>
          <w:lang w:eastAsia="fr-FR"/>
        </w:rPr>
        <w:t>.</w:t>
      </w:r>
      <w:r w:rsidRPr="00D53AFE">
        <w:rPr>
          <w:rFonts w:eastAsia="Times New Roman"/>
          <w:bCs/>
          <w:color w:val="000000"/>
          <w:sz w:val="22"/>
          <w:szCs w:val="22"/>
          <w:vertAlign w:val="superscript"/>
          <w:lang w:eastAsia="fr-FR"/>
        </w:rPr>
        <w:footnoteReference w:id="35"/>
      </w:r>
      <w:r w:rsidRPr="00D53AFE">
        <w:rPr>
          <w:rFonts w:eastAsia="Times New Roman"/>
          <w:bCs/>
          <w:color w:val="000000"/>
          <w:sz w:val="22"/>
          <w:szCs w:val="22"/>
          <w:lang w:eastAsia="fr-FR"/>
        </w:rPr>
        <w:t xml:space="preserve"> According to these </w:t>
      </w:r>
      <w:r w:rsidR="00091D17" w:rsidRPr="00D53AFE">
        <w:rPr>
          <w:rFonts w:eastAsia="Times New Roman"/>
          <w:bCs/>
          <w:color w:val="000000"/>
          <w:sz w:val="22"/>
          <w:szCs w:val="22"/>
          <w:lang w:eastAsia="fr-FR"/>
        </w:rPr>
        <w:t xml:space="preserve">newspaper </w:t>
      </w:r>
      <w:r w:rsidRPr="00D53AFE">
        <w:rPr>
          <w:rFonts w:eastAsia="Times New Roman"/>
          <w:bCs/>
          <w:color w:val="000000"/>
          <w:sz w:val="22"/>
          <w:szCs w:val="22"/>
          <w:lang w:eastAsia="fr-FR"/>
        </w:rPr>
        <w:t xml:space="preserve">articles, the number of international mobility permits increased from 14,804 in 2015 to 41,094 </w:t>
      </w:r>
      <w:r w:rsidRPr="00D53AFE">
        <w:rPr>
          <w:rFonts w:eastAsia="Times New Roman"/>
          <w:b/>
          <w:bCs/>
          <w:color w:val="000000"/>
          <w:sz w:val="22"/>
          <w:szCs w:val="22"/>
          <w:lang w:eastAsia="fr-FR"/>
        </w:rPr>
        <w:t>by the end of 2017</w:t>
      </w:r>
      <w:r w:rsidRPr="00D53AFE">
        <w:rPr>
          <w:rFonts w:eastAsia="Times New Roman"/>
          <w:bCs/>
          <w:color w:val="000000"/>
          <w:sz w:val="22"/>
          <w:szCs w:val="22"/>
          <w:lang w:eastAsia="fr-FR"/>
        </w:rPr>
        <w:t xml:space="preserve"> (19,368 corresponding to the main holder of the permit and the rest to their family members). From these, </w:t>
      </w:r>
      <w:r w:rsidRPr="00D53AFE">
        <w:rPr>
          <w:rFonts w:eastAsia="Times New Roman"/>
          <w:b/>
          <w:bCs/>
          <w:color w:val="000000"/>
          <w:sz w:val="22"/>
          <w:szCs w:val="22"/>
          <w:lang w:eastAsia="fr-FR"/>
        </w:rPr>
        <w:t xml:space="preserve">3,350 </w:t>
      </w:r>
      <w:r w:rsidRPr="00D53AFE">
        <w:rPr>
          <w:rFonts w:eastAsia="Times New Roman"/>
          <w:bCs/>
          <w:color w:val="000000"/>
          <w:sz w:val="22"/>
          <w:szCs w:val="22"/>
          <w:lang w:eastAsia="fr-FR"/>
        </w:rPr>
        <w:t xml:space="preserve">(17.30%) of the permits correspond to </w:t>
      </w:r>
      <w:r w:rsidRPr="00D53AFE">
        <w:rPr>
          <w:rFonts w:eastAsia="Times New Roman"/>
          <w:b/>
          <w:bCs/>
          <w:color w:val="000000"/>
          <w:sz w:val="22"/>
          <w:szCs w:val="22"/>
          <w:lang w:eastAsia="fr-FR"/>
        </w:rPr>
        <w:t>investors’ residence schemes</w:t>
      </w:r>
      <w:r w:rsidRPr="00D53AFE">
        <w:rPr>
          <w:rFonts w:eastAsia="Times New Roman"/>
          <w:bCs/>
          <w:color w:val="000000"/>
          <w:sz w:val="22"/>
          <w:szCs w:val="22"/>
          <w:lang w:eastAsia="fr-FR"/>
        </w:rPr>
        <w:t xml:space="preserve">. Supposedly, such schemes generated a </w:t>
      </w:r>
      <w:r w:rsidRPr="00D53AFE">
        <w:rPr>
          <w:rFonts w:eastAsia="Times New Roman"/>
          <w:b/>
          <w:bCs/>
          <w:color w:val="000000"/>
          <w:sz w:val="22"/>
          <w:szCs w:val="22"/>
          <w:lang w:eastAsia="fr-FR"/>
        </w:rPr>
        <w:t xml:space="preserve">total income of EUR 3,026 million </w:t>
      </w:r>
      <w:r w:rsidRPr="00D53AFE">
        <w:rPr>
          <w:rFonts w:eastAsia="Times New Roman"/>
          <w:bCs/>
          <w:color w:val="000000"/>
          <w:sz w:val="22"/>
          <w:szCs w:val="22"/>
          <w:lang w:eastAsia="fr-FR"/>
        </w:rPr>
        <w:t>in 2017, 77.16% more than in 2016. In addition, if the data published in the</w:t>
      </w:r>
      <w:r w:rsidR="00C7171C" w:rsidRPr="00D53AFE">
        <w:rPr>
          <w:rFonts w:eastAsia="Times New Roman"/>
          <w:bCs/>
          <w:color w:val="000000"/>
          <w:sz w:val="22"/>
          <w:szCs w:val="22"/>
          <w:lang w:eastAsia="fr-FR"/>
        </w:rPr>
        <w:t>se</w:t>
      </w:r>
      <w:r w:rsidRPr="00D53AFE">
        <w:rPr>
          <w:rFonts w:eastAsia="Times New Roman"/>
          <w:bCs/>
          <w:color w:val="000000"/>
          <w:sz w:val="22"/>
          <w:szCs w:val="22"/>
          <w:lang w:eastAsia="fr-FR"/>
        </w:rPr>
        <w:t xml:space="preserve"> newspaper articles is reliable, a total of </w:t>
      </w:r>
      <w:r w:rsidRPr="00D53AFE">
        <w:rPr>
          <w:rFonts w:eastAsia="Times New Roman"/>
          <w:b/>
          <w:bCs/>
          <w:color w:val="000000"/>
          <w:sz w:val="22"/>
          <w:szCs w:val="22"/>
          <w:lang w:eastAsia="fr-FR"/>
        </w:rPr>
        <w:t xml:space="preserve">EUR 436,840 </w:t>
      </w:r>
      <w:r w:rsidRPr="00D53AFE">
        <w:rPr>
          <w:rFonts w:eastAsia="Times New Roman"/>
          <w:bCs/>
          <w:color w:val="000000"/>
          <w:sz w:val="22"/>
          <w:szCs w:val="22"/>
          <w:lang w:eastAsia="fr-FR"/>
        </w:rPr>
        <w:t>was collected by the Spanish Public Treasury in non-refundable fees for the processing and issuance of the investors’ residence permits in 2017.</w:t>
      </w:r>
      <w:r w:rsidR="00091D17" w:rsidRPr="00D53AFE">
        <w:rPr>
          <w:rStyle w:val="FootnoteReference"/>
          <w:rFonts w:eastAsia="Times New Roman"/>
          <w:bCs/>
          <w:color w:val="000000"/>
          <w:sz w:val="22"/>
          <w:szCs w:val="22"/>
          <w:lang w:eastAsia="fr-FR"/>
        </w:rPr>
        <w:footnoteReference w:id="36"/>
      </w:r>
      <w:r w:rsidRPr="00D53AFE">
        <w:rPr>
          <w:rFonts w:eastAsia="Times New Roman"/>
          <w:bCs/>
          <w:color w:val="000000"/>
          <w:sz w:val="22"/>
          <w:szCs w:val="22"/>
          <w:lang w:eastAsia="fr-FR"/>
        </w:rPr>
        <w:t xml:space="preserve"> </w:t>
      </w:r>
    </w:p>
    <w:p w14:paraId="02336CA8" w14:textId="77777777" w:rsidR="00C55F34" w:rsidRPr="00D53AFE" w:rsidRDefault="00C55F34" w:rsidP="00CD7EF7">
      <w:pPr>
        <w:widowControl w:val="0"/>
        <w:spacing w:after="0" w:line="240" w:lineRule="auto"/>
        <w:jc w:val="both"/>
        <w:rPr>
          <w:rFonts w:eastAsia="Times New Roman"/>
          <w:bCs/>
          <w:color w:val="000000"/>
          <w:sz w:val="22"/>
          <w:szCs w:val="22"/>
          <w:lang w:eastAsia="fr-FR"/>
        </w:rPr>
      </w:pPr>
    </w:p>
    <w:p w14:paraId="01350213" w14:textId="11A99CAB" w:rsidR="00C55F34" w:rsidRPr="00D53AFE" w:rsidRDefault="002B0004" w:rsidP="00CD7EF7">
      <w:pPr>
        <w:widowControl w:val="0"/>
        <w:spacing w:after="0" w:line="240" w:lineRule="auto"/>
        <w:jc w:val="both"/>
        <w:rPr>
          <w:rFonts w:eastAsia="Times New Roman"/>
          <w:bCs/>
          <w:color w:val="000000"/>
          <w:sz w:val="22"/>
          <w:szCs w:val="22"/>
          <w:lang w:eastAsia="fr-FR"/>
        </w:rPr>
      </w:pPr>
      <w:r w:rsidRPr="00D53AFE">
        <w:rPr>
          <w:rFonts w:eastAsia="Times New Roman"/>
          <w:bCs/>
          <w:color w:val="000000"/>
          <w:sz w:val="22"/>
          <w:szCs w:val="22"/>
          <w:lang w:eastAsia="fr-FR"/>
        </w:rPr>
        <w:t>Thus</w:t>
      </w:r>
      <w:r w:rsidR="00C55F34" w:rsidRPr="00D53AFE">
        <w:rPr>
          <w:rFonts w:eastAsia="Times New Roman"/>
          <w:bCs/>
          <w:color w:val="000000"/>
          <w:sz w:val="22"/>
          <w:szCs w:val="22"/>
          <w:lang w:eastAsia="fr-FR"/>
        </w:rPr>
        <w:t xml:space="preserve">, it </w:t>
      </w:r>
      <w:r w:rsidR="00C7171C" w:rsidRPr="00D53AFE">
        <w:rPr>
          <w:rFonts w:eastAsia="Times New Roman"/>
          <w:bCs/>
          <w:color w:val="000000"/>
          <w:sz w:val="22"/>
          <w:szCs w:val="22"/>
          <w:lang w:eastAsia="fr-FR"/>
        </w:rPr>
        <w:t>seems</w:t>
      </w:r>
      <w:r w:rsidR="00C55F34" w:rsidRPr="00D53AFE">
        <w:rPr>
          <w:rFonts w:eastAsia="Times New Roman"/>
          <w:bCs/>
          <w:color w:val="000000"/>
          <w:sz w:val="22"/>
          <w:szCs w:val="22"/>
          <w:lang w:eastAsia="fr-FR"/>
        </w:rPr>
        <w:t xml:space="preserve"> that Spanish investors’ residence schemes have substantially gained momentum in the last three years, meeting the objectives they were created for: boosting the Spanish economy, increasing its competitiveness </w:t>
      </w:r>
      <w:r w:rsidR="00C7171C" w:rsidRPr="00D53AFE">
        <w:rPr>
          <w:rFonts w:eastAsia="Times New Roman"/>
          <w:bCs/>
          <w:color w:val="000000"/>
          <w:sz w:val="22"/>
          <w:szCs w:val="22"/>
          <w:lang w:eastAsia="fr-FR"/>
        </w:rPr>
        <w:t>internationally</w:t>
      </w:r>
      <w:r w:rsidR="00C55F34" w:rsidRPr="00D53AFE">
        <w:rPr>
          <w:rFonts w:eastAsia="Times New Roman"/>
          <w:bCs/>
          <w:color w:val="000000"/>
          <w:sz w:val="22"/>
          <w:szCs w:val="22"/>
          <w:lang w:eastAsia="fr-FR"/>
        </w:rPr>
        <w:t xml:space="preserve"> and creating jobs.</w:t>
      </w:r>
      <w:r w:rsidR="00A15D57" w:rsidRPr="00D53AFE">
        <w:rPr>
          <w:rFonts w:eastAsia="Times New Roman"/>
          <w:bCs/>
          <w:color w:val="000000"/>
          <w:sz w:val="22"/>
          <w:szCs w:val="22"/>
          <w:lang w:eastAsia="fr-FR"/>
        </w:rPr>
        <w:t xml:space="preserve"> The 2015 Report already pointed that the introduction of international mobility permits supported the establishment of a </w:t>
      </w:r>
      <w:r w:rsidR="00A15D57" w:rsidRPr="00D53AFE">
        <w:rPr>
          <w:rFonts w:eastAsia="Times New Roman"/>
          <w:b/>
          <w:bCs/>
          <w:color w:val="000000"/>
          <w:sz w:val="22"/>
          <w:szCs w:val="22"/>
          <w:lang w:eastAsia="fr-FR"/>
        </w:rPr>
        <w:t>favourable framework for internationalisation of the Spanish market</w:t>
      </w:r>
      <w:r w:rsidR="00A15D57" w:rsidRPr="00D53AFE">
        <w:rPr>
          <w:rFonts w:eastAsia="Times New Roman"/>
          <w:bCs/>
          <w:color w:val="000000"/>
          <w:sz w:val="22"/>
          <w:szCs w:val="22"/>
          <w:lang w:eastAsia="fr-FR"/>
        </w:rPr>
        <w:t xml:space="preserve"> since it attracts investment and talent and is </w:t>
      </w:r>
      <w:r w:rsidR="00A15D57" w:rsidRPr="00D53AFE">
        <w:rPr>
          <w:rFonts w:eastAsia="Times New Roman"/>
          <w:b/>
          <w:bCs/>
          <w:color w:val="000000"/>
          <w:sz w:val="22"/>
          <w:szCs w:val="22"/>
          <w:lang w:eastAsia="fr-FR"/>
        </w:rPr>
        <w:t>boosting opportunities in the negotiation of international economic agreements</w:t>
      </w:r>
      <w:r w:rsidR="00A15D57" w:rsidRPr="00D53AFE">
        <w:rPr>
          <w:rFonts w:eastAsia="Times New Roman"/>
          <w:bCs/>
          <w:color w:val="000000"/>
          <w:sz w:val="22"/>
          <w:szCs w:val="22"/>
          <w:lang w:eastAsia="fr-FR"/>
        </w:rPr>
        <w:t>.</w:t>
      </w:r>
    </w:p>
    <w:sectPr w:rsidR="00C55F34" w:rsidRPr="00D53AFE" w:rsidSect="00141123">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E62D" w14:textId="77777777" w:rsidR="004A1F9C" w:rsidRDefault="004A1F9C" w:rsidP="00360212">
      <w:pPr>
        <w:spacing w:after="0" w:line="240" w:lineRule="auto"/>
      </w:pPr>
      <w:r>
        <w:separator/>
      </w:r>
    </w:p>
  </w:endnote>
  <w:endnote w:type="continuationSeparator" w:id="0">
    <w:p w14:paraId="5E76D648" w14:textId="77777777" w:rsidR="004A1F9C" w:rsidRDefault="004A1F9C" w:rsidP="00360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B78BE" w14:textId="704A5D35" w:rsidR="007C7B2C" w:rsidRDefault="007C7B2C">
    <w:pPr>
      <w:pStyle w:val="Footer"/>
    </w:pPr>
  </w:p>
  <w:tbl>
    <w:tblPr>
      <w:tblW w:w="5000" w:type="pct"/>
      <w:tblBorders>
        <w:top w:val="single" w:sz="4" w:space="0" w:color="auto"/>
      </w:tblBorders>
      <w:tblLook w:val="01E0" w:firstRow="1" w:lastRow="1" w:firstColumn="1" w:lastColumn="1" w:noHBand="0" w:noVBand="0"/>
    </w:tblPr>
    <w:tblGrid>
      <w:gridCol w:w="2168"/>
      <w:gridCol w:w="6858"/>
    </w:tblGrid>
    <w:tr w:rsidR="007C7B2C" w:rsidRPr="00E6005D" w14:paraId="528A24E2" w14:textId="77777777" w:rsidTr="00E504A5">
      <w:tc>
        <w:tcPr>
          <w:tcW w:w="1201" w:type="pct"/>
        </w:tcPr>
        <w:p w14:paraId="0E03F4D5" w14:textId="77777777" w:rsidR="007C7B2C" w:rsidRPr="00E6005D" w:rsidRDefault="007C7B2C" w:rsidP="00E6005D">
          <w:pPr>
            <w:tabs>
              <w:tab w:val="left" w:pos="1212"/>
            </w:tabs>
            <w:spacing w:after="0" w:line="240" w:lineRule="auto"/>
            <w:ind w:right="360"/>
            <w:rPr>
              <w:rFonts w:eastAsia="Times New Roman"/>
              <w:i/>
              <w:szCs w:val="24"/>
              <w:lang w:eastAsia="fr-FR"/>
            </w:rPr>
          </w:pPr>
          <w:r w:rsidRPr="00E6005D">
            <w:rPr>
              <w:rFonts w:eastAsia="Times New Roman"/>
              <w:i/>
              <w:szCs w:val="24"/>
              <w:lang w:eastAsia="fr-FR"/>
            </w:rPr>
            <w:t xml:space="preserve">Milieu Ltd </w:t>
          </w:r>
        </w:p>
        <w:p w14:paraId="48D440C2" w14:textId="285C2BA9" w:rsidR="007C7B2C" w:rsidRPr="00E6005D" w:rsidRDefault="007C7B2C" w:rsidP="00D50A70">
          <w:pPr>
            <w:tabs>
              <w:tab w:val="center" w:pos="4153"/>
              <w:tab w:val="right" w:pos="8306"/>
            </w:tabs>
            <w:spacing w:after="0" w:line="240" w:lineRule="auto"/>
            <w:ind w:right="360"/>
            <w:rPr>
              <w:rFonts w:eastAsia="Times New Roman"/>
              <w:i/>
              <w:szCs w:val="24"/>
              <w:lang w:eastAsia="fr-FR"/>
            </w:rPr>
          </w:pPr>
          <w:r w:rsidRPr="00E6005D">
            <w:rPr>
              <w:rFonts w:eastAsia="Times New Roman"/>
              <w:i/>
              <w:szCs w:val="24"/>
              <w:lang w:eastAsia="fr-FR"/>
            </w:rPr>
            <w:t>Brussels, Ju</w:t>
          </w:r>
          <w:r>
            <w:rPr>
              <w:rFonts w:eastAsia="Times New Roman"/>
              <w:i/>
              <w:szCs w:val="24"/>
              <w:lang w:eastAsia="fr-FR"/>
            </w:rPr>
            <w:t>ly</w:t>
          </w:r>
          <w:r w:rsidRPr="00E6005D">
            <w:rPr>
              <w:rFonts w:eastAsia="Times New Roman"/>
              <w:i/>
              <w:szCs w:val="24"/>
              <w:lang w:eastAsia="fr-FR"/>
            </w:rPr>
            <w:t xml:space="preserve"> 2018</w:t>
          </w:r>
        </w:p>
      </w:tc>
      <w:tc>
        <w:tcPr>
          <w:tcW w:w="3799" w:type="pct"/>
        </w:tcPr>
        <w:p w14:paraId="11C520DB" w14:textId="22EBECCA" w:rsidR="007C7B2C" w:rsidRPr="00E6005D" w:rsidRDefault="007C7B2C" w:rsidP="00E6005D">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E6005D">
            <w:rPr>
              <w:rFonts w:eastAsia="Times New Roman"/>
              <w:i/>
              <w:szCs w:val="24"/>
              <w:lang w:eastAsia="fr-FR"/>
            </w:rPr>
            <w:t xml:space="preserve"> – Investors’ Residence Schemes in Spain/</w:t>
          </w:r>
          <w:r w:rsidRPr="00E6005D">
            <w:rPr>
              <w:rFonts w:eastAsia="Times New Roman"/>
              <w:i/>
              <w:szCs w:val="24"/>
              <w:lang w:eastAsia="fr-FR"/>
            </w:rPr>
            <w:fldChar w:fldCharType="begin"/>
          </w:r>
          <w:r w:rsidRPr="00E6005D">
            <w:rPr>
              <w:rFonts w:eastAsia="Times New Roman"/>
              <w:i/>
              <w:szCs w:val="24"/>
              <w:lang w:eastAsia="fr-FR"/>
            </w:rPr>
            <w:instrText xml:space="preserve"> PAGE   \* MERGEFORMAT </w:instrText>
          </w:r>
          <w:r w:rsidRPr="00E6005D">
            <w:rPr>
              <w:rFonts w:eastAsia="Times New Roman"/>
              <w:i/>
              <w:szCs w:val="24"/>
              <w:lang w:eastAsia="fr-FR"/>
            </w:rPr>
            <w:fldChar w:fldCharType="separate"/>
          </w:r>
          <w:r>
            <w:rPr>
              <w:rFonts w:eastAsia="Times New Roman"/>
              <w:i/>
              <w:noProof/>
              <w:szCs w:val="24"/>
              <w:lang w:eastAsia="fr-FR"/>
            </w:rPr>
            <w:t>1</w:t>
          </w:r>
          <w:r w:rsidRPr="00E6005D">
            <w:rPr>
              <w:rFonts w:eastAsia="Times New Roman"/>
              <w:i/>
              <w:noProof/>
              <w:szCs w:val="24"/>
              <w:lang w:eastAsia="fr-FR"/>
            </w:rPr>
            <w:fldChar w:fldCharType="end"/>
          </w:r>
        </w:p>
      </w:tc>
    </w:tr>
  </w:tbl>
  <w:p w14:paraId="0183C9AA" w14:textId="39A4547F" w:rsidR="007C7B2C" w:rsidRDefault="007C7B2C">
    <w:pPr>
      <w:pStyle w:val="Footer"/>
    </w:pPr>
  </w:p>
  <w:p w14:paraId="703F4958" w14:textId="77777777" w:rsidR="007C7B2C" w:rsidRDefault="007C7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A872F" w14:textId="77777777" w:rsidR="004A1F9C" w:rsidRDefault="004A1F9C" w:rsidP="00360212">
      <w:pPr>
        <w:spacing w:after="0" w:line="240" w:lineRule="auto"/>
      </w:pPr>
      <w:r>
        <w:separator/>
      </w:r>
    </w:p>
  </w:footnote>
  <w:footnote w:type="continuationSeparator" w:id="0">
    <w:p w14:paraId="2F05300C" w14:textId="77777777" w:rsidR="004A1F9C" w:rsidRDefault="004A1F9C" w:rsidP="00360212">
      <w:pPr>
        <w:spacing w:after="0" w:line="240" w:lineRule="auto"/>
      </w:pPr>
      <w:r>
        <w:continuationSeparator/>
      </w:r>
    </w:p>
  </w:footnote>
  <w:footnote w:id="1">
    <w:p w14:paraId="47F778ED"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w:t>
      </w:r>
      <w:r w:rsidRPr="00D53AFE">
        <w:rPr>
          <w:color w:val="000000"/>
          <w:sz w:val="16"/>
          <w:szCs w:val="16"/>
        </w:rPr>
        <w:t>Law 14/2013, of 27 September, on the support to entrepreneurs and their internationalisation (</w:t>
      </w:r>
      <w:r w:rsidRPr="00D53AFE">
        <w:rPr>
          <w:i/>
          <w:color w:val="000000"/>
          <w:sz w:val="16"/>
          <w:szCs w:val="16"/>
        </w:rPr>
        <w:t>Ley 14/2013, de 27 de septiembre, de apoyo a los emprendedores y su internacionalización</w:t>
      </w:r>
      <w:r w:rsidRPr="00D53AFE">
        <w:rPr>
          <w:color w:val="000000"/>
          <w:sz w:val="16"/>
          <w:szCs w:val="16"/>
        </w:rPr>
        <w:t xml:space="preserve">), Official State Gazette 233 of 29 September 2013, BOE-A-2013-10074, available at </w:t>
      </w:r>
      <w:hyperlink r:id="rId1" w:history="1">
        <w:r w:rsidRPr="00D53AFE">
          <w:rPr>
            <w:rStyle w:val="Hyperlink"/>
            <w:sz w:val="16"/>
            <w:szCs w:val="16"/>
          </w:rPr>
          <w:t>https://www.boe.es/buscar/act.php?id=BOE-A-2013-10074</w:t>
        </w:r>
      </w:hyperlink>
      <w:r w:rsidRPr="00D53AFE">
        <w:rPr>
          <w:color w:val="000000"/>
          <w:sz w:val="16"/>
          <w:szCs w:val="16"/>
        </w:rPr>
        <w:t xml:space="preserve"> (Law 14/2013). </w:t>
      </w:r>
    </w:p>
  </w:footnote>
  <w:footnote w:id="2">
    <w:p w14:paraId="577E8B66"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Organic Law 4/2000, of 11 January, on the rights and freedoms of foreigners in Spain and their social integration (</w:t>
      </w:r>
      <w:r w:rsidRPr="00D53AFE">
        <w:rPr>
          <w:i/>
          <w:sz w:val="16"/>
          <w:szCs w:val="16"/>
        </w:rPr>
        <w:t>Ley Orgánica 4/2000, de 11 de enero, sobre derechos y libertades de los extranjeros en España y su integración social</w:t>
      </w:r>
      <w:r w:rsidRPr="00D53AFE">
        <w:rPr>
          <w:sz w:val="16"/>
          <w:szCs w:val="16"/>
        </w:rPr>
        <w:t xml:space="preserve">), Official State Gazette No. 10/2000 of 12 January 2000, BOE-A-2000-544, available at </w:t>
      </w:r>
      <w:hyperlink r:id="rId2" w:history="1">
        <w:r w:rsidRPr="00D53AFE">
          <w:rPr>
            <w:rStyle w:val="Hyperlink"/>
            <w:sz w:val="16"/>
            <w:szCs w:val="16"/>
          </w:rPr>
          <w:t>https://www.boe.es/buscar/act.php?id=BOE-A-2000-544</w:t>
        </w:r>
      </w:hyperlink>
      <w:r w:rsidRPr="00D53AFE">
        <w:rPr>
          <w:sz w:val="16"/>
          <w:szCs w:val="16"/>
        </w:rPr>
        <w:t xml:space="preserve"> (LOEX) (last amended in 2009). The LOEX is developed by Royal Decree 557/2011, of 20 April, adopting the Regulation of Organic Law 4/2000, on the rights and freedoms of foreigners in Spain and their social integration (</w:t>
      </w:r>
      <w:r w:rsidRPr="00D53AFE">
        <w:rPr>
          <w:i/>
          <w:sz w:val="16"/>
          <w:szCs w:val="16"/>
        </w:rPr>
        <w:t>Real Decreto 557/2011, de 20 de abril, por el que se aprueba el Reglamento de la Ley Orgánica 4/2000, sobre derechos y libertades de los extranjeros en España y su integración social</w:t>
      </w:r>
      <w:r w:rsidRPr="00D53AFE">
        <w:rPr>
          <w:sz w:val="16"/>
          <w:szCs w:val="16"/>
        </w:rPr>
        <w:t xml:space="preserve">), Official Gazette No. 103/2011 of 3 April 2011, BOE-A-2011-7703, available at </w:t>
      </w:r>
      <w:hyperlink r:id="rId3" w:history="1">
        <w:r w:rsidRPr="00D53AFE">
          <w:rPr>
            <w:rStyle w:val="Hyperlink"/>
            <w:sz w:val="16"/>
            <w:szCs w:val="16"/>
          </w:rPr>
          <w:t>https://www.boe.es/buscar/act.php?id=BOE-A-2011-7703</w:t>
        </w:r>
      </w:hyperlink>
      <w:r w:rsidRPr="00D53AFE">
        <w:rPr>
          <w:sz w:val="16"/>
          <w:szCs w:val="16"/>
        </w:rPr>
        <w:t xml:space="preserve"> (RELOEX)(last amended in 2009).</w:t>
      </w:r>
    </w:p>
  </w:footnote>
  <w:footnote w:id="3">
    <w:p w14:paraId="679D6823" w14:textId="2351FC0A"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Under Spanish migration law, third-country nationals can apply for visas or authorisations (</w:t>
      </w:r>
      <w:r w:rsidRPr="00D53AFE">
        <w:rPr>
          <w:i/>
          <w:sz w:val="16"/>
          <w:szCs w:val="16"/>
        </w:rPr>
        <w:t>autorizaciones</w:t>
      </w:r>
      <w:r w:rsidRPr="00D53AFE">
        <w:rPr>
          <w:sz w:val="16"/>
          <w:szCs w:val="16"/>
        </w:rPr>
        <w:t xml:space="preserve">), which can be of different types (e.g. stay visas, temporary residence visa, residence and work authorisations, self-employment authorisations). While visas are required for entry </w:t>
      </w:r>
      <w:r w:rsidR="00CD7EF7" w:rsidRPr="00D53AFE">
        <w:rPr>
          <w:sz w:val="16"/>
          <w:szCs w:val="16"/>
        </w:rPr>
        <w:t>into Spain</w:t>
      </w:r>
      <w:r w:rsidRPr="00D53AFE">
        <w:rPr>
          <w:sz w:val="16"/>
          <w:szCs w:val="16"/>
        </w:rPr>
        <w:t xml:space="preserve">, authorisations are applied for after third-country </w:t>
      </w:r>
      <w:r w:rsidR="00CD7EF7" w:rsidRPr="00D53AFE">
        <w:rPr>
          <w:sz w:val="16"/>
          <w:szCs w:val="16"/>
        </w:rPr>
        <w:t xml:space="preserve">nationals </w:t>
      </w:r>
      <w:r w:rsidRPr="00D53AFE">
        <w:rPr>
          <w:sz w:val="16"/>
          <w:szCs w:val="16"/>
        </w:rPr>
        <w:t>entered Spain to extend the stay and, where applicable, allow them to work. Spanish migration legislation uses the term ‘permit’ (</w:t>
      </w:r>
      <w:r w:rsidRPr="00D53AFE">
        <w:rPr>
          <w:i/>
          <w:sz w:val="16"/>
          <w:szCs w:val="16"/>
        </w:rPr>
        <w:t>permiso</w:t>
      </w:r>
      <w:r w:rsidRPr="00D53AFE">
        <w:rPr>
          <w:sz w:val="16"/>
          <w:szCs w:val="16"/>
        </w:rPr>
        <w:t xml:space="preserve">) in a broader sense, covering both visas and authorisations. </w:t>
      </w:r>
    </w:p>
  </w:footnote>
  <w:footnote w:id="4">
    <w:p w14:paraId="19101567"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Articles 66 and 67 Law 14/2013.</w:t>
      </w:r>
    </w:p>
  </w:footnote>
  <w:footnote w:id="5">
    <w:p w14:paraId="5009D1F1" w14:textId="3FC5B3AD"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This Office is part of the consulate or diplomatic mission competent to receive, examine and issue the corresponding visa. The Office must issue a favourable report regarding the application and the investment.</w:t>
      </w:r>
    </w:p>
  </w:footnote>
  <w:footnote w:id="6">
    <w:p w14:paraId="1A9C2EA3"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UGE-CE website, available at </w:t>
      </w:r>
      <w:hyperlink r:id="rId4" w:history="1">
        <w:r w:rsidRPr="00D53AFE">
          <w:rPr>
            <w:rStyle w:val="Hyperlink"/>
            <w:sz w:val="16"/>
            <w:szCs w:val="16"/>
          </w:rPr>
          <w:t>http://extranjeros.empleo.gob.es/es/UnidadGrandesEmpresas/index.html</w:t>
        </w:r>
      </w:hyperlink>
      <w:r w:rsidRPr="00D53AFE">
        <w:rPr>
          <w:sz w:val="16"/>
          <w:szCs w:val="16"/>
        </w:rPr>
        <w:t xml:space="preserve">. </w:t>
      </w:r>
    </w:p>
  </w:footnote>
  <w:footnote w:id="7">
    <w:p w14:paraId="1FED414F" w14:textId="1D3CC435" w:rsidR="007C7B2C" w:rsidRPr="00D53AFE" w:rsidRDefault="007C7B2C" w:rsidP="00D53AFE">
      <w:pPr>
        <w:pStyle w:val="FootnoteText"/>
        <w:jc w:val="both"/>
        <w:rPr>
          <w:i/>
          <w:sz w:val="16"/>
          <w:szCs w:val="16"/>
        </w:rPr>
      </w:pPr>
      <w:r w:rsidRPr="00D53AFE">
        <w:rPr>
          <w:rStyle w:val="FootnoteReference"/>
          <w:sz w:val="16"/>
          <w:szCs w:val="16"/>
        </w:rPr>
        <w:footnoteRef/>
      </w:r>
      <w:r w:rsidRPr="00D53AFE">
        <w:rPr>
          <w:sz w:val="16"/>
          <w:szCs w:val="16"/>
        </w:rPr>
        <w:t xml:space="preserve"> Within the MESS, the State Secretariat on Social Security (</w:t>
      </w:r>
      <w:r w:rsidRPr="00D53AFE">
        <w:rPr>
          <w:i/>
          <w:sz w:val="16"/>
          <w:szCs w:val="16"/>
        </w:rPr>
        <w:t>Secretaría de Estado de la Seguridad Social</w:t>
      </w:r>
      <w:r w:rsidRPr="00D53AFE">
        <w:rPr>
          <w:sz w:val="16"/>
          <w:szCs w:val="16"/>
        </w:rPr>
        <w:t>) is competent to ensure the fulfilment of the Social Security obligations and the Social Security and Employment Inspectorate (</w:t>
      </w:r>
      <w:r w:rsidRPr="00D53AFE">
        <w:rPr>
          <w:i/>
          <w:sz w:val="16"/>
          <w:szCs w:val="16"/>
        </w:rPr>
        <w:t>Inspección de Trabajo y Seguridad Social</w:t>
      </w:r>
      <w:r w:rsidRPr="00D53AFE">
        <w:rPr>
          <w:sz w:val="16"/>
          <w:szCs w:val="16"/>
        </w:rPr>
        <w:t>) plays an essential role in it. Regarding taxes, at State level, the competent authority is the Ministry of Finance (</w:t>
      </w:r>
      <w:r w:rsidRPr="00D53AFE">
        <w:rPr>
          <w:i/>
          <w:sz w:val="16"/>
          <w:szCs w:val="16"/>
        </w:rPr>
        <w:t>Ministerio de Economía y Hacienda</w:t>
      </w:r>
      <w:r w:rsidRPr="00D53AFE">
        <w:rPr>
          <w:sz w:val="16"/>
          <w:szCs w:val="16"/>
        </w:rPr>
        <w:t>) and, specifically, the State Agency on Tax Administration (</w:t>
      </w:r>
      <w:r w:rsidRPr="00D53AFE">
        <w:rPr>
          <w:i/>
          <w:sz w:val="16"/>
          <w:szCs w:val="16"/>
        </w:rPr>
        <w:t>Agencia Estatal de Administración Tributaria</w:t>
      </w:r>
      <w:r w:rsidRPr="00D53AFE">
        <w:rPr>
          <w:sz w:val="16"/>
          <w:szCs w:val="16"/>
        </w:rPr>
        <w:t>); at the level of the Autonomous Communities and Local Entities, there are specific departments in their regional governments for tax purposes. The names of these departments vary among the Autonomous Communities and Local Entities but they are generally named “Finance Office” (</w:t>
      </w:r>
      <w:r w:rsidRPr="00D53AFE">
        <w:rPr>
          <w:i/>
          <w:sz w:val="16"/>
          <w:szCs w:val="16"/>
        </w:rPr>
        <w:t>Consejería de Hacienda</w:t>
      </w:r>
      <w:r w:rsidRPr="00D53AFE">
        <w:rPr>
          <w:sz w:val="16"/>
          <w:szCs w:val="16"/>
        </w:rPr>
        <w:t xml:space="preserve">).  </w:t>
      </w:r>
    </w:p>
  </w:footnote>
  <w:footnote w:id="8">
    <w:p w14:paraId="743EE8FA" w14:textId="7F8785B4"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The Government has to adopt a list of countries considered a tax haven. However, this list has not yet been adopted. According to the newspaper El Confidencial, some of the countries to be included in the list are Bahrein, Brunei, Gibraltar, Anguilla, Antigua y Barbuda, Bermuda, Cayman Islands, Cook Islands, Dominican Republic, Granada, Fiji, Channel Islands, Malvinas, Isle of Man, Mauritius, etc. Whole list available at El Confidencial, “What is a tax haven for Spain and which countries are included in the ‘black list’?”, </w:t>
      </w:r>
      <w:r w:rsidRPr="00D53AFE">
        <w:rPr>
          <w:i/>
          <w:sz w:val="16"/>
          <w:szCs w:val="16"/>
        </w:rPr>
        <w:t>(¿Qué es para España un paraíso fiscal y qué países integran la “lista negra”?</w:t>
      </w:r>
      <w:r w:rsidRPr="00D53AFE">
        <w:rPr>
          <w:sz w:val="16"/>
          <w:szCs w:val="16"/>
        </w:rPr>
        <w:t xml:space="preserve">), November 2017, available at </w:t>
      </w:r>
      <w:hyperlink r:id="rId5" w:history="1">
        <w:r w:rsidRPr="00D53AFE">
          <w:rPr>
            <w:rStyle w:val="Hyperlink"/>
            <w:sz w:val="16"/>
            <w:szCs w:val="16"/>
          </w:rPr>
          <w:t>https://www.elconfidencial.com/economia/paradise-papers/2017-11-06/papeles-paraiso-fiscal-legislacion-espana_1473396/</w:t>
        </w:r>
      </w:hyperlink>
      <w:r w:rsidRPr="00D53AFE">
        <w:rPr>
          <w:sz w:val="16"/>
          <w:szCs w:val="16"/>
        </w:rPr>
        <w:t xml:space="preserve">. </w:t>
      </w:r>
    </w:p>
  </w:footnote>
  <w:footnote w:id="9">
    <w:p w14:paraId="2E7DDC8F" w14:textId="5F75439B"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Law 10/2010, of April 28, on the prevention of money laundering and the financing of terrorism (</w:t>
      </w:r>
      <w:r w:rsidRPr="00D53AFE">
        <w:rPr>
          <w:i/>
          <w:sz w:val="16"/>
          <w:szCs w:val="16"/>
        </w:rPr>
        <w:t>Ley 10/2010, de 28 de abril, de prevención del blanqueo de capitales y de la financiación del terrorismo</w:t>
      </w:r>
      <w:r w:rsidRPr="00D53AFE">
        <w:rPr>
          <w:sz w:val="16"/>
          <w:szCs w:val="16"/>
        </w:rPr>
        <w:t xml:space="preserve">), Official Gazette 103/2010, BOE-A-2010-6737, available at </w:t>
      </w:r>
      <w:hyperlink r:id="rId6" w:history="1">
        <w:r w:rsidRPr="00D53AFE">
          <w:rPr>
            <w:rStyle w:val="Hyperlink"/>
            <w:sz w:val="16"/>
            <w:szCs w:val="16"/>
          </w:rPr>
          <w:t>https://www.boe.es/buscar/act.php?id=BOE-A-2010-6737</w:t>
        </w:r>
      </w:hyperlink>
      <w:r w:rsidRPr="00D53AFE">
        <w:rPr>
          <w:sz w:val="16"/>
          <w:szCs w:val="16"/>
        </w:rPr>
        <w:t xml:space="preserve"> (Law 10/2010)</w:t>
      </w:r>
      <w:r w:rsidR="00C04A3A" w:rsidRPr="00D53AFE">
        <w:rPr>
          <w:sz w:val="16"/>
          <w:szCs w:val="16"/>
        </w:rPr>
        <w:t xml:space="preserve"> (transposes </w:t>
      </w:r>
      <w:r w:rsidRPr="00D53AFE">
        <w:rPr>
          <w:sz w:val="16"/>
          <w:szCs w:val="16"/>
        </w:rPr>
        <w:t>Directive (EU) 2015/849 on the prevention of the use of the financial system for the purposes of money laundering or terrorist financing</w:t>
      </w:r>
      <w:r w:rsidR="00C04A3A" w:rsidRPr="00D53AFE">
        <w:rPr>
          <w:sz w:val="16"/>
          <w:szCs w:val="16"/>
        </w:rPr>
        <w:t>).</w:t>
      </w:r>
    </w:p>
  </w:footnote>
  <w:footnote w:id="10">
    <w:p w14:paraId="4EF6D78E"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 62(1) and (2) Law 14/2013.</w:t>
      </w:r>
    </w:p>
  </w:footnote>
  <w:footnote w:id="11">
    <w:p w14:paraId="6EB854A0" w14:textId="2B046560"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Regulation (EC) No 562/2006 of the European Parliament and of the Council of 15 March 2006 establishing a Community Code on the rules governing the movement of persons across borders (Schengen Borders Code</w:t>
      </w:r>
      <w:r w:rsidR="00C04A3A" w:rsidRPr="00D53AFE">
        <w:rPr>
          <w:sz w:val="16"/>
          <w:szCs w:val="16"/>
        </w:rPr>
        <w:t>) (r</w:t>
      </w:r>
      <w:r w:rsidRPr="00D53AFE">
        <w:rPr>
          <w:sz w:val="16"/>
          <w:szCs w:val="16"/>
        </w:rPr>
        <w:t>epealed and replaced by Regulation (EU) 2016/399</w:t>
      </w:r>
      <w:r w:rsidR="00C04A3A" w:rsidRPr="00D53AFE">
        <w:rPr>
          <w:sz w:val="16"/>
          <w:szCs w:val="16"/>
        </w:rPr>
        <w:t>).</w:t>
      </w:r>
      <w:r w:rsidRPr="00D53AFE">
        <w:rPr>
          <w:sz w:val="16"/>
          <w:szCs w:val="16"/>
        </w:rPr>
        <w:t xml:space="preserve"> The entry requirements are set in Article 6.</w:t>
      </w:r>
    </w:p>
  </w:footnote>
  <w:footnote w:id="12">
    <w:p w14:paraId="15E1FA95" w14:textId="7128EC52"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Regulation (EC) No 810/2009 of the European Parliament and of the Council of 13 July 2009 establishing a Community Code on Visas (Visa Code</w:t>
      </w:r>
      <w:r w:rsidR="00C04A3A" w:rsidRPr="00D53AFE">
        <w:rPr>
          <w:sz w:val="16"/>
          <w:szCs w:val="16"/>
        </w:rPr>
        <w:t>)</w:t>
      </w:r>
      <w:r w:rsidRPr="00D53AFE">
        <w:rPr>
          <w:sz w:val="16"/>
          <w:szCs w:val="16"/>
        </w:rPr>
        <w:t>. Entry requirements are established in Article 10(2).</w:t>
      </w:r>
    </w:p>
  </w:footnote>
  <w:footnote w:id="13">
    <w:p w14:paraId="79577514" w14:textId="76FF391C" w:rsidR="008F47D4" w:rsidRPr="00D53AFE" w:rsidRDefault="008F47D4" w:rsidP="00D53AFE">
      <w:pPr>
        <w:pStyle w:val="FootnoteText"/>
        <w:jc w:val="both"/>
        <w:rPr>
          <w:sz w:val="16"/>
          <w:szCs w:val="16"/>
        </w:rPr>
      </w:pPr>
      <w:r w:rsidRPr="00D53AFE">
        <w:rPr>
          <w:rStyle w:val="FootnoteReference"/>
          <w:sz w:val="16"/>
          <w:szCs w:val="16"/>
        </w:rPr>
        <w:footnoteRef/>
      </w:r>
      <w:r w:rsidRPr="00D53AFE">
        <w:rPr>
          <w:sz w:val="16"/>
          <w:szCs w:val="16"/>
        </w:rPr>
        <w:t xml:space="preserve"> Article 22 of Regulation 810/2009.</w:t>
      </w:r>
    </w:p>
  </w:footnote>
  <w:footnote w:id="14">
    <w:p w14:paraId="26F50A23" w14:textId="1E5755F3"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Council Regulation (EC) No 1683/95 of 29 May 1995 laying down a uniform format for visa</w:t>
      </w:r>
      <w:r w:rsidR="00C04A3A" w:rsidRPr="00D53AFE">
        <w:rPr>
          <w:sz w:val="16"/>
          <w:szCs w:val="16"/>
        </w:rPr>
        <w:t>s.</w:t>
      </w:r>
    </w:p>
  </w:footnote>
  <w:footnote w:id="15">
    <w:p w14:paraId="5CE405F0" w14:textId="3A7D840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w:t>
      </w:r>
      <w:r w:rsidR="00E07C53" w:rsidRPr="00D53AFE">
        <w:rPr>
          <w:sz w:val="16"/>
          <w:szCs w:val="16"/>
        </w:rPr>
        <w:t>s 64(b) and</w:t>
      </w:r>
      <w:r w:rsidRPr="00D53AFE">
        <w:rPr>
          <w:sz w:val="16"/>
          <w:szCs w:val="16"/>
        </w:rPr>
        <w:t xml:space="preserve"> 65 Law 14/2013. The stay visa does not entitle the holder to work (Article 25bis LOEX). If the investor has obtained a stay visa, once s/he has entered the Spanish territory must apply for a residence </w:t>
      </w:r>
      <w:r w:rsidR="008F47D4" w:rsidRPr="00D53AFE">
        <w:rPr>
          <w:sz w:val="16"/>
          <w:szCs w:val="16"/>
        </w:rPr>
        <w:t>authorisation</w:t>
      </w:r>
      <w:r w:rsidRPr="00D53AFE">
        <w:rPr>
          <w:sz w:val="16"/>
          <w:szCs w:val="16"/>
        </w:rPr>
        <w:t>.</w:t>
      </w:r>
    </w:p>
  </w:footnote>
  <w:footnote w:id="16">
    <w:p w14:paraId="233D10E3"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Proof of force majeure or humanitarian reasons preventing the applicant from leaving the territory or proof of serious personal reasons.</w:t>
      </w:r>
    </w:p>
  </w:footnote>
  <w:footnote w:id="17">
    <w:p w14:paraId="4B13CCDC" w14:textId="4A622FB6" w:rsidR="00C71EA1" w:rsidRPr="00D53AFE" w:rsidRDefault="00C71EA1" w:rsidP="00D53AFE">
      <w:pPr>
        <w:pStyle w:val="FootnoteText"/>
        <w:jc w:val="both"/>
        <w:rPr>
          <w:sz w:val="16"/>
          <w:szCs w:val="16"/>
        </w:rPr>
      </w:pPr>
      <w:r w:rsidRPr="00D53AFE">
        <w:rPr>
          <w:rStyle w:val="FootnoteReference"/>
          <w:sz w:val="16"/>
          <w:szCs w:val="16"/>
        </w:rPr>
        <w:footnoteRef/>
      </w:r>
      <w:r w:rsidRPr="00D53AFE">
        <w:rPr>
          <w:sz w:val="16"/>
          <w:szCs w:val="16"/>
        </w:rPr>
        <w:t xml:space="preserve"> MESS website, Electronic Office of the General Directorate of Migrations, Applications on International Mobility (authorisations regulated by Law 14/2013), available at </w:t>
      </w:r>
      <w:hyperlink r:id="rId7" w:history="1">
        <w:r w:rsidRPr="00D53AFE">
          <w:rPr>
            <w:rStyle w:val="Hyperlink"/>
            <w:sz w:val="16"/>
            <w:szCs w:val="16"/>
          </w:rPr>
          <w:t>https://expinterweb.empleo.gob.es/ley11/inicio/showTramites.action?procedimientoSel=200&amp;proc=5</w:t>
        </w:r>
      </w:hyperlink>
      <w:r w:rsidRPr="00D53AFE">
        <w:rPr>
          <w:sz w:val="16"/>
          <w:szCs w:val="16"/>
        </w:rPr>
        <w:t>.</w:t>
      </w:r>
    </w:p>
  </w:footnote>
  <w:footnote w:id="18">
    <w:p w14:paraId="7FB761FB" w14:textId="79BE4F8A" w:rsidR="00C71EA1" w:rsidRPr="00D53AFE" w:rsidRDefault="00C71EA1" w:rsidP="00D53AFE">
      <w:pPr>
        <w:pStyle w:val="FootnoteText"/>
        <w:jc w:val="both"/>
        <w:rPr>
          <w:sz w:val="16"/>
          <w:szCs w:val="16"/>
        </w:rPr>
      </w:pPr>
      <w:r w:rsidRPr="00D53AFE">
        <w:rPr>
          <w:rStyle w:val="FootnoteReference"/>
          <w:sz w:val="16"/>
          <w:szCs w:val="16"/>
        </w:rPr>
        <w:footnoteRef/>
      </w:r>
      <w:r w:rsidRPr="00D53AFE">
        <w:rPr>
          <w:sz w:val="16"/>
          <w:szCs w:val="16"/>
        </w:rPr>
        <w:t xml:space="preserve"> Article 67 in relation to Seventh Additional Provision Law 14/2013.</w:t>
      </w:r>
    </w:p>
  </w:footnote>
  <w:footnote w:id="19">
    <w:p w14:paraId="38BAFF48" w14:textId="1022CEC4"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Information gathered through consultation with representative of the General Secretariat of Migration, 21 June 2018.</w:t>
      </w:r>
    </w:p>
  </w:footnote>
  <w:footnote w:id="20">
    <w:p w14:paraId="4E99B06E"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 76(1) Law 14/2013.</w:t>
      </w:r>
    </w:p>
  </w:footnote>
  <w:footnote w:id="21">
    <w:p w14:paraId="547BA63C" w14:textId="26BE806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w:t>
      </w:r>
      <w:r w:rsidR="00E07C53" w:rsidRPr="00D53AFE">
        <w:rPr>
          <w:sz w:val="16"/>
          <w:szCs w:val="16"/>
        </w:rPr>
        <w:t xml:space="preserve">Report for DG HOME ‘Assessing the completeness and conformity of measures of Member States to transpose Council Framework Decision 2006/960/JHA (‘Swedish Initiative’)’; </w:t>
      </w:r>
      <w:r w:rsidRPr="00D53AFE">
        <w:rPr>
          <w:sz w:val="16"/>
          <w:szCs w:val="16"/>
        </w:rPr>
        <w:t>Article 62(6) and Article 75(1) Law 14/2013.</w:t>
      </w:r>
    </w:p>
  </w:footnote>
  <w:footnote w:id="22">
    <w:p w14:paraId="55AE5060" w14:textId="75C3D1DF"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Seventh Additional Provision Law 14/2013.</w:t>
      </w:r>
    </w:p>
  </w:footnote>
  <w:footnote w:id="23">
    <w:p w14:paraId="2DF7057C" w14:textId="07EF6308" w:rsidR="007C7B2C" w:rsidRPr="00D53AFE" w:rsidRDefault="007C7B2C" w:rsidP="00D53AFE">
      <w:pPr>
        <w:pStyle w:val="FootnoteText"/>
        <w:jc w:val="both"/>
        <w:rPr>
          <w:sz w:val="16"/>
          <w:szCs w:val="16"/>
        </w:rPr>
      </w:pPr>
      <w:r w:rsidRPr="00D53AFE">
        <w:rPr>
          <w:rStyle w:val="FootnoteReference"/>
          <w:sz w:val="16"/>
          <w:szCs w:val="16"/>
        </w:rPr>
        <w:footnoteRef/>
      </w:r>
      <w:r w:rsidRPr="00D53AFE">
        <w:rPr>
          <w:rStyle w:val="FootnoteReference"/>
          <w:sz w:val="16"/>
          <w:szCs w:val="16"/>
        </w:rPr>
        <w:t xml:space="preserve"> </w:t>
      </w:r>
      <w:r w:rsidRPr="00D53AFE">
        <w:rPr>
          <w:sz w:val="16"/>
          <w:szCs w:val="16"/>
        </w:rPr>
        <w:t>To date, only one has been prepared, in 2015</w:t>
      </w:r>
      <w:r w:rsidR="00134716" w:rsidRPr="00D53AFE">
        <w:rPr>
          <w:sz w:val="16"/>
          <w:szCs w:val="16"/>
        </w:rPr>
        <w:t xml:space="preserve">, available at </w:t>
      </w:r>
      <w:hyperlink r:id="rId8" w:history="1">
        <w:r w:rsidR="00134716" w:rsidRPr="00D53AFE">
          <w:rPr>
            <w:rStyle w:val="Hyperlink"/>
            <w:sz w:val="16"/>
            <w:szCs w:val="16"/>
          </w:rPr>
          <w:t>http://extranjeros.empleo.gob.es/es/UnidadGrandesEmpresas/ley14_2013/documentacion/Informe_anual_de_la_Seccion_de_Movilidad_de_la_ley_14_2013.pdf</w:t>
        </w:r>
      </w:hyperlink>
      <w:r w:rsidR="00134716" w:rsidRPr="00D53AFE">
        <w:rPr>
          <w:sz w:val="16"/>
          <w:szCs w:val="16"/>
        </w:rPr>
        <w:t xml:space="preserve"> (2015 MESS Report).</w:t>
      </w:r>
    </w:p>
  </w:footnote>
  <w:footnote w:id="24">
    <w:p w14:paraId="36BF1434" w14:textId="39A49C88"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Eleventh Final Provision Law 14/2013 and Article 3(1) LOEX refers to all foreigners who are legally in Spain (whether in a short-stay, temporary residence or long-term residence situation) and, thus, includes both investors as well as their family members. </w:t>
      </w:r>
    </w:p>
  </w:footnote>
  <w:footnote w:id="25">
    <w:p w14:paraId="21256316" w14:textId="30BCEFB6"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Information gathered through consultation with representative of the General Secretariat of Migration, 21 June 2018.</w:t>
      </w:r>
    </w:p>
  </w:footnote>
  <w:footnote w:id="26">
    <w:p w14:paraId="4EEE376A"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Articles 63(1) and 65 Law 14/2013 regarding the investors’ residence visa and Fourth Additional Provision Law 1472013 regarding the investors’ residence authorisation.</w:t>
      </w:r>
    </w:p>
  </w:footnote>
  <w:footnote w:id="27">
    <w:p w14:paraId="23D0C729" w14:textId="5B44D8CE"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w:t>
      </w:r>
      <w:r w:rsidR="00134716" w:rsidRPr="00D53AFE">
        <w:rPr>
          <w:sz w:val="16"/>
          <w:szCs w:val="16"/>
        </w:rPr>
        <w:t>s</w:t>
      </w:r>
      <w:r w:rsidRPr="00D53AFE">
        <w:rPr>
          <w:sz w:val="16"/>
          <w:szCs w:val="16"/>
        </w:rPr>
        <w:t xml:space="preserve"> 3</w:t>
      </w:r>
      <w:r w:rsidR="00134716" w:rsidRPr="00D53AFE">
        <w:rPr>
          <w:sz w:val="16"/>
          <w:szCs w:val="16"/>
        </w:rPr>
        <w:t>-14</w:t>
      </w:r>
      <w:r w:rsidRPr="00D53AFE">
        <w:rPr>
          <w:sz w:val="16"/>
          <w:szCs w:val="16"/>
        </w:rPr>
        <w:t xml:space="preserve"> LOEX</w:t>
      </w:r>
      <w:r w:rsidR="00134716" w:rsidRPr="00D53AFE">
        <w:rPr>
          <w:sz w:val="16"/>
          <w:szCs w:val="16"/>
        </w:rPr>
        <w:t>.</w:t>
      </w:r>
    </w:p>
  </w:footnote>
  <w:footnote w:id="28">
    <w:p w14:paraId="68150D3A" w14:textId="64FBD54A"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The Spanish Social Security system ensures the persons covered (including third-country nationals and, thus, investors and their family members) the necessary protection (by granting pensions and subsidies) in the situations prescribed by law (e.g. unemployment, maternity, disabilities, etc.) not only linked to the fact that a person has an employment. MESS website, ‘General Information. What is the Social Security System?’ (</w:t>
      </w:r>
      <w:r w:rsidRPr="00D53AFE">
        <w:rPr>
          <w:i/>
          <w:sz w:val="16"/>
          <w:szCs w:val="16"/>
        </w:rPr>
        <w:t>Información general: ¿qué es el Sistema de la Seguridad Social?</w:t>
      </w:r>
      <w:r w:rsidRPr="00D53AFE">
        <w:rPr>
          <w:sz w:val="16"/>
          <w:szCs w:val="16"/>
        </w:rPr>
        <w:t xml:space="preserve">), available at </w:t>
      </w:r>
      <w:hyperlink r:id="rId9" w:history="1">
        <w:r w:rsidRPr="00D53AFE">
          <w:rPr>
            <w:rStyle w:val="Hyperlink"/>
            <w:sz w:val="16"/>
            <w:szCs w:val="16"/>
          </w:rPr>
          <w:t>http://www.seg-social.es/Internet_1/Trabajadores/Afiliacion/Informaciongeneral/index.htm</w:t>
        </w:r>
      </w:hyperlink>
      <w:r w:rsidRPr="00D53AFE">
        <w:rPr>
          <w:sz w:val="16"/>
          <w:szCs w:val="16"/>
        </w:rPr>
        <w:t xml:space="preserve">. </w:t>
      </w:r>
    </w:p>
  </w:footnote>
  <w:footnote w:id="29">
    <w:p w14:paraId="2DBA6C3C"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 15 LOEX. The countries with which Spain has a double-taxation agreement are listed on the Ministry of Finance website, available at </w:t>
      </w:r>
      <w:hyperlink r:id="rId10" w:history="1">
        <w:r w:rsidRPr="00D53AFE">
          <w:rPr>
            <w:rStyle w:val="Hyperlink"/>
            <w:sz w:val="16"/>
            <w:szCs w:val="16"/>
          </w:rPr>
          <w:t>http://www.minhafp.gob.es/es-ES/Normativa%20y%20doctrina/Normativa/CDI/Paginas/CDI_Alfa.aspx</w:t>
        </w:r>
      </w:hyperlink>
      <w:r w:rsidRPr="00D53AFE">
        <w:rPr>
          <w:sz w:val="16"/>
          <w:szCs w:val="16"/>
        </w:rPr>
        <w:t xml:space="preserve">. </w:t>
      </w:r>
    </w:p>
  </w:footnote>
  <w:footnote w:id="30">
    <w:p w14:paraId="729C7B0F" w14:textId="3641EC5E"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Royal Decree of 24 July of 1889 publishing the Civil Code </w:t>
      </w:r>
      <w:r w:rsidR="00C46BD7" w:rsidRPr="00D53AFE">
        <w:rPr>
          <w:sz w:val="16"/>
          <w:szCs w:val="16"/>
        </w:rPr>
        <w:t>(</w:t>
      </w:r>
      <w:r w:rsidR="00C46BD7" w:rsidRPr="00D53AFE">
        <w:rPr>
          <w:i/>
          <w:sz w:val="16"/>
          <w:szCs w:val="16"/>
        </w:rPr>
        <w:t>Real Decreto de 24 de julio de 1889 por el que se publica el Codigo Civil</w:t>
      </w:r>
      <w:r w:rsidR="00C46BD7" w:rsidRPr="00D53AFE">
        <w:rPr>
          <w:sz w:val="16"/>
          <w:szCs w:val="16"/>
        </w:rPr>
        <w:t>)</w:t>
      </w:r>
      <w:r w:rsidRPr="00D53AFE">
        <w:rPr>
          <w:sz w:val="16"/>
          <w:szCs w:val="16"/>
        </w:rPr>
        <w:t xml:space="preserve">, Official Gazette 206/1889, BOE-A-1889-4763, available at </w:t>
      </w:r>
      <w:hyperlink r:id="rId11" w:history="1">
        <w:r w:rsidRPr="00D53AFE">
          <w:rPr>
            <w:rStyle w:val="Hyperlink"/>
            <w:sz w:val="16"/>
            <w:szCs w:val="16"/>
          </w:rPr>
          <w:t>https://boe.es/buscar/act.php?id=BOE-A-1889-4763</w:t>
        </w:r>
      </w:hyperlink>
      <w:r w:rsidRPr="00D53AFE">
        <w:rPr>
          <w:sz w:val="16"/>
          <w:szCs w:val="16"/>
        </w:rPr>
        <w:t xml:space="preserve"> (last amended in June 2017)(Civil Code).</w:t>
      </w:r>
      <w:r w:rsidR="00C46BD7" w:rsidRPr="00D53AFE">
        <w:rPr>
          <w:sz w:val="16"/>
          <w:szCs w:val="16"/>
        </w:rPr>
        <w:t xml:space="preserve"> </w:t>
      </w:r>
    </w:p>
  </w:footnote>
  <w:footnote w:id="31">
    <w:p w14:paraId="16124F0F"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Articles 21(2)(3)(4) and 22 Civil Code and Royal Decree 1004/2015, of 6 November, adopting the Regulation establishing the procedure to obtain the Spanish nationality by residence (</w:t>
      </w:r>
      <w:r w:rsidRPr="00D53AFE">
        <w:rPr>
          <w:i/>
          <w:sz w:val="16"/>
          <w:szCs w:val="16"/>
        </w:rPr>
        <w:t>Real Decreto 1004/2015, de 6 de noviembre, por el que se aprueba el Reglamento por el que se regula el procedimiento para la adquisición de la nacionalidad española por residencia</w:t>
      </w:r>
      <w:r w:rsidRPr="00D53AFE">
        <w:rPr>
          <w:sz w:val="16"/>
          <w:szCs w:val="16"/>
        </w:rPr>
        <w:t xml:space="preserve">), Official Gazette 267/2015, BOE-A-2015-12047, available at: </w:t>
      </w:r>
      <w:hyperlink r:id="rId12" w:history="1">
        <w:r w:rsidRPr="00D53AFE">
          <w:rPr>
            <w:rStyle w:val="Hyperlink"/>
            <w:sz w:val="16"/>
            <w:szCs w:val="16"/>
          </w:rPr>
          <w:t>https://www.boe.es/buscar/act.php?id=BOE-A-2015-12047</w:t>
        </w:r>
      </w:hyperlink>
      <w:r w:rsidRPr="00D53AFE">
        <w:rPr>
          <w:sz w:val="16"/>
          <w:szCs w:val="16"/>
        </w:rPr>
        <w:t xml:space="preserve">. </w:t>
      </w:r>
    </w:p>
  </w:footnote>
  <w:footnote w:id="32">
    <w:p w14:paraId="7584757E"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Article 22(4) and 23 Civil Code.</w:t>
      </w:r>
    </w:p>
  </w:footnote>
  <w:footnote w:id="33">
    <w:p w14:paraId="6EB0559F"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2015 MESS Report. </w:t>
      </w:r>
    </w:p>
  </w:footnote>
  <w:footnote w:id="34">
    <w:p w14:paraId="6367D96D" w14:textId="77777777"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El País, ‘Russian and Chinese citizens monopolise the visas granted for real estate investments’ (</w:t>
      </w:r>
      <w:r w:rsidRPr="00D53AFE">
        <w:rPr>
          <w:i/>
          <w:sz w:val="16"/>
          <w:szCs w:val="16"/>
        </w:rPr>
        <w:t>Rusos y chinos acaparan los visados por compra de casas</w:t>
      </w:r>
      <w:r w:rsidRPr="00D53AFE">
        <w:rPr>
          <w:sz w:val="16"/>
          <w:szCs w:val="16"/>
        </w:rPr>
        <w:t xml:space="preserve">), May 2018, available at https://cincodias.elpais.com/cincodias/2018/05/04/midinero/1525450395_341550.html. </w:t>
      </w:r>
    </w:p>
  </w:footnote>
  <w:footnote w:id="35">
    <w:p w14:paraId="220D0CAE" w14:textId="5C822320"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Information gathered through consultation with representative of the General Secretariat on Migration 21 June 2018.</w:t>
      </w:r>
    </w:p>
  </w:footnote>
  <w:footnote w:id="36">
    <w:p w14:paraId="354EB3E4" w14:textId="604E8265" w:rsidR="007C7B2C" w:rsidRPr="00D53AFE" w:rsidRDefault="007C7B2C" w:rsidP="00D53AFE">
      <w:pPr>
        <w:pStyle w:val="FootnoteText"/>
        <w:jc w:val="both"/>
        <w:rPr>
          <w:sz w:val="16"/>
          <w:szCs w:val="16"/>
        </w:rPr>
      </w:pPr>
      <w:r w:rsidRPr="00D53AFE">
        <w:rPr>
          <w:rStyle w:val="FootnoteReference"/>
          <w:sz w:val="16"/>
          <w:szCs w:val="16"/>
        </w:rPr>
        <w:footnoteRef/>
      </w:r>
      <w:r w:rsidRPr="00D53AFE">
        <w:rPr>
          <w:sz w:val="16"/>
          <w:szCs w:val="16"/>
        </w:rPr>
        <w:t xml:space="preserve"> </w:t>
      </w:r>
      <w:r w:rsidRPr="00D53AFE">
        <w:rPr>
          <w:bCs/>
          <w:sz w:val="16"/>
          <w:szCs w:val="16"/>
        </w:rPr>
        <w:t>The fee for issuing the investors’ residence visa is EUR 60 and for the investors’ residence authorisation EUR 70.40 which adds up to EUR 130.40. Multiplying this by the alleged 3,350 residence permits granted to investors in 2017 (newspaper articles cited above) the total amount fees paid to the Spanish Public Treasury would be EUR 436,840 in 2017. This excludes fees eventually applicable for renewing the permits.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27B6A"/>
    <w:multiLevelType w:val="hybridMultilevel"/>
    <w:tmpl w:val="5E6AA082"/>
    <w:lvl w:ilvl="0" w:tplc="080C0001">
      <w:start w:val="1"/>
      <w:numFmt w:val="bullet"/>
      <w:lvlText w:val=""/>
      <w:lvlJc w:val="left"/>
      <w:pPr>
        <w:ind w:left="774" w:hanging="360"/>
      </w:pPr>
      <w:rPr>
        <w:rFonts w:ascii="Symbol" w:hAnsi="Symbol" w:hint="default"/>
      </w:rPr>
    </w:lvl>
    <w:lvl w:ilvl="1" w:tplc="8FBEED3C">
      <w:start w:val="1"/>
      <w:numFmt w:val="bullet"/>
      <w:lvlText w:val=""/>
      <w:lvlJc w:val="left"/>
      <w:pPr>
        <w:ind w:left="1494" w:hanging="360"/>
      </w:pPr>
      <w:rPr>
        <w:rFonts w:ascii="Wingdings" w:hAnsi="Wingdings" w:hint="default"/>
        <w:b w:val="0"/>
        <w:i w:val="0"/>
        <w:color w:val="4472C4" w:themeColor="accent1"/>
        <w:sz w:val="16"/>
        <w:u w:color="000080"/>
      </w:rPr>
    </w:lvl>
    <w:lvl w:ilvl="2" w:tplc="080C0005">
      <w:start w:val="1"/>
      <w:numFmt w:val="bullet"/>
      <w:lvlText w:val=""/>
      <w:lvlJc w:val="left"/>
      <w:pPr>
        <w:ind w:left="2214" w:hanging="360"/>
      </w:pPr>
      <w:rPr>
        <w:rFonts w:ascii="Wingdings" w:hAnsi="Wingdings" w:hint="default"/>
      </w:rPr>
    </w:lvl>
    <w:lvl w:ilvl="3" w:tplc="080C0001" w:tentative="1">
      <w:start w:val="1"/>
      <w:numFmt w:val="bullet"/>
      <w:lvlText w:val=""/>
      <w:lvlJc w:val="left"/>
      <w:pPr>
        <w:ind w:left="2934" w:hanging="360"/>
      </w:pPr>
      <w:rPr>
        <w:rFonts w:ascii="Symbol" w:hAnsi="Symbol" w:hint="default"/>
      </w:rPr>
    </w:lvl>
    <w:lvl w:ilvl="4" w:tplc="080C0003" w:tentative="1">
      <w:start w:val="1"/>
      <w:numFmt w:val="bullet"/>
      <w:lvlText w:val="o"/>
      <w:lvlJc w:val="left"/>
      <w:pPr>
        <w:ind w:left="3654" w:hanging="360"/>
      </w:pPr>
      <w:rPr>
        <w:rFonts w:ascii="Courier New" w:hAnsi="Courier New" w:cs="Courier New" w:hint="default"/>
      </w:rPr>
    </w:lvl>
    <w:lvl w:ilvl="5" w:tplc="080C0005" w:tentative="1">
      <w:start w:val="1"/>
      <w:numFmt w:val="bullet"/>
      <w:lvlText w:val=""/>
      <w:lvlJc w:val="left"/>
      <w:pPr>
        <w:ind w:left="4374" w:hanging="360"/>
      </w:pPr>
      <w:rPr>
        <w:rFonts w:ascii="Wingdings" w:hAnsi="Wingdings" w:hint="default"/>
      </w:rPr>
    </w:lvl>
    <w:lvl w:ilvl="6" w:tplc="080C0001" w:tentative="1">
      <w:start w:val="1"/>
      <w:numFmt w:val="bullet"/>
      <w:lvlText w:val=""/>
      <w:lvlJc w:val="left"/>
      <w:pPr>
        <w:ind w:left="5094" w:hanging="360"/>
      </w:pPr>
      <w:rPr>
        <w:rFonts w:ascii="Symbol" w:hAnsi="Symbol" w:hint="default"/>
      </w:rPr>
    </w:lvl>
    <w:lvl w:ilvl="7" w:tplc="080C0003" w:tentative="1">
      <w:start w:val="1"/>
      <w:numFmt w:val="bullet"/>
      <w:lvlText w:val="o"/>
      <w:lvlJc w:val="left"/>
      <w:pPr>
        <w:ind w:left="5814" w:hanging="360"/>
      </w:pPr>
      <w:rPr>
        <w:rFonts w:ascii="Courier New" w:hAnsi="Courier New" w:cs="Courier New" w:hint="default"/>
      </w:rPr>
    </w:lvl>
    <w:lvl w:ilvl="8" w:tplc="080C0005" w:tentative="1">
      <w:start w:val="1"/>
      <w:numFmt w:val="bullet"/>
      <w:lvlText w:val=""/>
      <w:lvlJc w:val="left"/>
      <w:pPr>
        <w:ind w:left="6534" w:hanging="360"/>
      </w:pPr>
      <w:rPr>
        <w:rFonts w:ascii="Wingdings" w:hAnsi="Wingdings" w:hint="default"/>
      </w:rPr>
    </w:lvl>
  </w:abstractNum>
  <w:abstractNum w:abstractNumId="1" w15:restartNumberingAfterBreak="0">
    <w:nsid w:val="015D69C2"/>
    <w:multiLevelType w:val="hybridMultilevel"/>
    <w:tmpl w:val="4A2862EE"/>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336F8"/>
    <w:multiLevelType w:val="hybridMultilevel"/>
    <w:tmpl w:val="052846E2"/>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A7AD6"/>
    <w:multiLevelType w:val="hybridMultilevel"/>
    <w:tmpl w:val="760C3FA4"/>
    <w:lvl w:ilvl="0" w:tplc="08090015">
      <w:start w:val="1"/>
      <w:numFmt w:val="bullet"/>
      <w:lvlText w:val=""/>
      <w:lvlJc w:val="left"/>
      <w:pPr>
        <w:ind w:left="720" w:hanging="360"/>
      </w:pPr>
      <w:rPr>
        <w:rFonts w:ascii="Wingdings" w:hAnsi="Wingdings" w:hint="default"/>
        <w:b w:val="0"/>
        <w:i w:val="0"/>
        <w:color w:val="4F81BD"/>
        <w:sz w:val="16"/>
        <w:u w:color="000080"/>
      </w:rPr>
    </w:lvl>
    <w:lvl w:ilvl="1" w:tplc="7B2CDD94">
      <w:start w:val="1"/>
      <w:numFmt w:val="bullet"/>
      <w:lvlText w:val="-"/>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1466869"/>
    <w:multiLevelType w:val="hybridMultilevel"/>
    <w:tmpl w:val="1718387A"/>
    <w:lvl w:ilvl="0" w:tplc="08090017">
      <w:start w:val="1"/>
      <w:numFmt w:val="lowerLetter"/>
      <w:lvlText w:val="%1)"/>
      <w:lvlJc w:val="left"/>
      <w:pPr>
        <w:ind w:left="720" w:hanging="360"/>
      </w:pPr>
      <w:rPr>
        <w:rFonts w:hint="default"/>
      </w:rPr>
    </w:lvl>
    <w:lvl w:ilvl="1" w:tplc="A52C2A3A">
      <w:start w:val="1"/>
      <w:numFmt w:val="bullet"/>
      <w:lvlText w:val=""/>
      <w:lvlJc w:val="left"/>
      <w:pPr>
        <w:ind w:left="1440" w:hanging="360"/>
      </w:pPr>
      <w:rPr>
        <w:rFonts w:ascii="Wingdings" w:hAnsi="Wingdings" w:hint="default"/>
        <w:color w:val="4472C4" w:themeColor="accent1"/>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9A038EC"/>
    <w:multiLevelType w:val="hybridMultilevel"/>
    <w:tmpl w:val="0246981E"/>
    <w:lvl w:ilvl="0" w:tplc="8FBEED3C">
      <w:start w:val="1"/>
      <w:numFmt w:val="bullet"/>
      <w:lvlText w:val=""/>
      <w:lvlJc w:val="left"/>
      <w:pPr>
        <w:ind w:left="720" w:hanging="360"/>
      </w:pPr>
      <w:rPr>
        <w:rFonts w:ascii="Wingdings" w:hAnsi="Wingdings" w:hint="default"/>
        <w:b w:val="0"/>
        <w:i w:val="0"/>
        <w:color w:val="4472C4" w:themeColor="accent1"/>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10110"/>
    <w:multiLevelType w:val="hybridMultilevel"/>
    <w:tmpl w:val="9DFAE7E0"/>
    <w:lvl w:ilvl="0" w:tplc="8FBEED3C">
      <w:start w:val="1"/>
      <w:numFmt w:val="bullet"/>
      <w:lvlText w:val=""/>
      <w:lvlJc w:val="left"/>
      <w:pPr>
        <w:ind w:left="774" w:hanging="360"/>
      </w:pPr>
      <w:rPr>
        <w:rFonts w:ascii="Wingdings" w:hAnsi="Wingdings" w:hint="default"/>
        <w:b w:val="0"/>
        <w:i w:val="0"/>
        <w:color w:val="4472C4" w:themeColor="accent1"/>
        <w:sz w:val="16"/>
        <w:u w:color="000080"/>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CBB071D"/>
    <w:multiLevelType w:val="hybridMultilevel"/>
    <w:tmpl w:val="CDA23A8E"/>
    <w:lvl w:ilvl="0" w:tplc="E9B087A0">
      <w:start w:val="1"/>
      <w:numFmt w:val="bullet"/>
      <w:lvlText w:val=""/>
      <w:lvlJc w:val="left"/>
      <w:pPr>
        <w:ind w:left="720" w:hanging="360"/>
      </w:pPr>
      <w:rPr>
        <w:rFonts w:ascii="Wingdings" w:hAnsi="Wingdings" w:hint="default"/>
        <w:b w:val="0"/>
        <w:i w:val="0"/>
        <w:color w:val="4472C4" w:themeColor="accent1"/>
        <w:sz w:val="20"/>
        <w:szCs w:val="20"/>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2303DB"/>
    <w:multiLevelType w:val="hybridMultilevel"/>
    <w:tmpl w:val="00C4BF24"/>
    <w:lvl w:ilvl="0" w:tplc="08090015">
      <w:start w:val="1"/>
      <w:numFmt w:val="bullet"/>
      <w:lvlText w:val=""/>
      <w:lvlJc w:val="left"/>
      <w:pPr>
        <w:ind w:left="720" w:hanging="360"/>
      </w:pPr>
      <w:rPr>
        <w:rFonts w:ascii="Wingdings" w:hAnsi="Wingdings" w:hint="default"/>
        <w:b w:val="0"/>
        <w:i w:val="0"/>
        <w:color w:val="4F81BD"/>
        <w:sz w:val="16"/>
        <w:u w:color="0000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44AA7609"/>
    <w:multiLevelType w:val="hybridMultilevel"/>
    <w:tmpl w:val="3026A252"/>
    <w:lvl w:ilvl="0" w:tplc="8FBEED3C">
      <w:start w:val="1"/>
      <w:numFmt w:val="bullet"/>
      <w:lvlText w:val=""/>
      <w:lvlJc w:val="left"/>
      <w:pPr>
        <w:ind w:left="720" w:hanging="360"/>
      </w:pPr>
      <w:rPr>
        <w:rFonts w:ascii="Wingdings" w:hAnsi="Wingdings" w:hint="default"/>
        <w:b w:val="0"/>
        <w:i w:val="0"/>
        <w:color w:val="4472C4" w:themeColor="accent1"/>
        <w:sz w:val="16"/>
        <w:u w:color="0000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B426F92"/>
    <w:multiLevelType w:val="hybridMultilevel"/>
    <w:tmpl w:val="18143F9C"/>
    <w:lvl w:ilvl="0" w:tplc="7B2CDD94">
      <w:start w:val="1"/>
      <w:numFmt w:val="bullet"/>
      <w:lvlText w:val="-"/>
      <w:lvlJc w:val="left"/>
      <w:pPr>
        <w:ind w:left="720" w:hanging="360"/>
      </w:pPr>
      <w:rPr>
        <w:rFonts w:ascii="Courier New" w:hAnsi="Courier New"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17742"/>
    <w:multiLevelType w:val="hybridMultilevel"/>
    <w:tmpl w:val="780CC150"/>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536374"/>
    <w:multiLevelType w:val="hybridMultilevel"/>
    <w:tmpl w:val="5F6C2A9A"/>
    <w:lvl w:ilvl="0" w:tplc="08090015">
      <w:start w:val="1"/>
      <w:numFmt w:val="bullet"/>
      <w:lvlText w:val=""/>
      <w:lvlJc w:val="left"/>
      <w:pPr>
        <w:ind w:left="1146" w:hanging="360"/>
      </w:pPr>
      <w:rPr>
        <w:rFonts w:ascii="Wingdings" w:hAnsi="Wingdings" w:hint="default"/>
        <w:b w:val="0"/>
        <w:i w:val="0"/>
        <w:color w:val="4F81BD"/>
        <w:sz w:val="16"/>
        <w:u w:color="000080"/>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5E38546A"/>
    <w:multiLevelType w:val="hybridMultilevel"/>
    <w:tmpl w:val="F3C0C69A"/>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001DC"/>
    <w:multiLevelType w:val="hybridMultilevel"/>
    <w:tmpl w:val="1FB271CC"/>
    <w:lvl w:ilvl="0" w:tplc="A52C2A3A">
      <w:start w:val="1"/>
      <w:numFmt w:val="bullet"/>
      <w:lvlText w:val=""/>
      <w:lvlJc w:val="left"/>
      <w:pPr>
        <w:ind w:left="720" w:hanging="360"/>
      </w:pPr>
      <w:rPr>
        <w:rFonts w:ascii="Wingdings" w:hAnsi="Wingdings" w:hint="default"/>
        <w:color w:val="4472C4" w:themeColor="accent1"/>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6A727595"/>
    <w:multiLevelType w:val="hybridMultilevel"/>
    <w:tmpl w:val="347E1268"/>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AF51ED"/>
    <w:multiLevelType w:val="hybridMultilevel"/>
    <w:tmpl w:val="A094E2A8"/>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065E18"/>
    <w:multiLevelType w:val="hybridMultilevel"/>
    <w:tmpl w:val="A766774C"/>
    <w:lvl w:ilvl="0" w:tplc="08090015">
      <w:start w:val="1"/>
      <w:numFmt w:val="bullet"/>
      <w:lvlText w:val=""/>
      <w:lvlJc w:val="left"/>
      <w:pPr>
        <w:ind w:left="778" w:hanging="360"/>
      </w:pPr>
      <w:rPr>
        <w:rFonts w:ascii="Wingdings" w:hAnsi="Wingdings" w:hint="default"/>
        <w:b w:val="0"/>
        <w:i w:val="0"/>
        <w:color w:val="4F81BD"/>
        <w:sz w:val="16"/>
        <w:u w:color="00008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7"/>
  </w:num>
  <w:num w:numId="4">
    <w:abstractNumId w:val="16"/>
  </w:num>
  <w:num w:numId="5">
    <w:abstractNumId w:val="7"/>
  </w:num>
  <w:num w:numId="6">
    <w:abstractNumId w:val="7"/>
  </w:num>
  <w:num w:numId="7">
    <w:abstractNumId w:val="7"/>
  </w:num>
  <w:num w:numId="8">
    <w:abstractNumId w:val="20"/>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14"/>
  </w:num>
  <w:num w:numId="19">
    <w:abstractNumId w:val="6"/>
  </w:num>
  <w:num w:numId="20">
    <w:abstractNumId w:val="19"/>
  </w:num>
  <w:num w:numId="21">
    <w:abstractNumId w:val="4"/>
  </w:num>
  <w:num w:numId="22">
    <w:abstractNumId w:val="13"/>
  </w:num>
  <w:num w:numId="23">
    <w:abstractNumId w:val="12"/>
  </w:num>
  <w:num w:numId="24">
    <w:abstractNumId w:val="11"/>
  </w:num>
  <w:num w:numId="25">
    <w:abstractNumId w:val="9"/>
  </w:num>
  <w:num w:numId="26">
    <w:abstractNumId w:val="3"/>
  </w:num>
  <w:num w:numId="27">
    <w:abstractNumId w:val="17"/>
  </w:num>
  <w:num w:numId="28">
    <w:abstractNumId w:val="1"/>
  </w:num>
  <w:num w:numId="29">
    <w:abstractNumId w:val="18"/>
  </w:num>
  <w:num w:numId="30">
    <w:abstractNumId w:val="15"/>
  </w:num>
  <w:num w:numId="31">
    <w:abstractNumId w:val="5"/>
  </w:num>
  <w:num w:numId="32">
    <w:abstractNumId w:val="0"/>
  </w:num>
  <w:num w:numId="33">
    <w:abstractNumId w:val="10"/>
  </w:num>
  <w:num w:numId="34">
    <w:abstractNumId w:val="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324B9"/>
    <w:rsid w:val="00040BAD"/>
    <w:rsid w:val="00091D17"/>
    <w:rsid w:val="000A7BB3"/>
    <w:rsid w:val="000A7C49"/>
    <w:rsid w:val="000D1BD8"/>
    <w:rsid w:val="000E2629"/>
    <w:rsid w:val="00134716"/>
    <w:rsid w:val="00140587"/>
    <w:rsid w:val="00141123"/>
    <w:rsid w:val="00141AE2"/>
    <w:rsid w:val="00156D45"/>
    <w:rsid w:val="001821A0"/>
    <w:rsid w:val="00182D84"/>
    <w:rsid w:val="001907D6"/>
    <w:rsid w:val="001D19D5"/>
    <w:rsid w:val="001D23C6"/>
    <w:rsid w:val="001D793D"/>
    <w:rsid w:val="001E458B"/>
    <w:rsid w:val="0020411B"/>
    <w:rsid w:val="002177B9"/>
    <w:rsid w:val="00242966"/>
    <w:rsid w:val="00277CCE"/>
    <w:rsid w:val="002A4AFA"/>
    <w:rsid w:val="002B0004"/>
    <w:rsid w:val="002C6646"/>
    <w:rsid w:val="002D6D41"/>
    <w:rsid w:val="00314487"/>
    <w:rsid w:val="00330848"/>
    <w:rsid w:val="00343E00"/>
    <w:rsid w:val="00360212"/>
    <w:rsid w:val="003631E0"/>
    <w:rsid w:val="003826AA"/>
    <w:rsid w:val="003C7EE3"/>
    <w:rsid w:val="003F12B3"/>
    <w:rsid w:val="004104F6"/>
    <w:rsid w:val="00416530"/>
    <w:rsid w:val="00435360"/>
    <w:rsid w:val="004A1F9C"/>
    <w:rsid w:val="004A58AE"/>
    <w:rsid w:val="004C7C30"/>
    <w:rsid w:val="004F6721"/>
    <w:rsid w:val="004F7D4A"/>
    <w:rsid w:val="00514B46"/>
    <w:rsid w:val="00544A72"/>
    <w:rsid w:val="00544C4C"/>
    <w:rsid w:val="00565241"/>
    <w:rsid w:val="00571FE6"/>
    <w:rsid w:val="005C656C"/>
    <w:rsid w:val="006320EB"/>
    <w:rsid w:val="00661B4F"/>
    <w:rsid w:val="00670C44"/>
    <w:rsid w:val="00683952"/>
    <w:rsid w:val="00692192"/>
    <w:rsid w:val="006B2B9E"/>
    <w:rsid w:val="006B2D79"/>
    <w:rsid w:val="006C3512"/>
    <w:rsid w:val="006D3309"/>
    <w:rsid w:val="006E315C"/>
    <w:rsid w:val="006E76E1"/>
    <w:rsid w:val="00733DAC"/>
    <w:rsid w:val="007567CA"/>
    <w:rsid w:val="00763E53"/>
    <w:rsid w:val="007C7B2C"/>
    <w:rsid w:val="0083617B"/>
    <w:rsid w:val="00844F99"/>
    <w:rsid w:val="00845380"/>
    <w:rsid w:val="00871EF3"/>
    <w:rsid w:val="008A205A"/>
    <w:rsid w:val="008A3535"/>
    <w:rsid w:val="008A6BBC"/>
    <w:rsid w:val="008C1AA3"/>
    <w:rsid w:val="008F2ACB"/>
    <w:rsid w:val="008F47D4"/>
    <w:rsid w:val="00913136"/>
    <w:rsid w:val="00947F93"/>
    <w:rsid w:val="009D5200"/>
    <w:rsid w:val="009F3F0F"/>
    <w:rsid w:val="00A13E27"/>
    <w:rsid w:val="00A15D57"/>
    <w:rsid w:val="00A23DAB"/>
    <w:rsid w:val="00A24DDA"/>
    <w:rsid w:val="00AB536B"/>
    <w:rsid w:val="00B5758D"/>
    <w:rsid w:val="00B86E7F"/>
    <w:rsid w:val="00BB2F1B"/>
    <w:rsid w:val="00BB6D19"/>
    <w:rsid w:val="00BD6D82"/>
    <w:rsid w:val="00BE212B"/>
    <w:rsid w:val="00BE5979"/>
    <w:rsid w:val="00C04A3A"/>
    <w:rsid w:val="00C20061"/>
    <w:rsid w:val="00C3200B"/>
    <w:rsid w:val="00C33E27"/>
    <w:rsid w:val="00C46BD7"/>
    <w:rsid w:val="00C47017"/>
    <w:rsid w:val="00C503A8"/>
    <w:rsid w:val="00C55F34"/>
    <w:rsid w:val="00C612FB"/>
    <w:rsid w:val="00C67261"/>
    <w:rsid w:val="00C7171C"/>
    <w:rsid w:val="00C71EA1"/>
    <w:rsid w:val="00C82619"/>
    <w:rsid w:val="00C84AA1"/>
    <w:rsid w:val="00CA0272"/>
    <w:rsid w:val="00CA789E"/>
    <w:rsid w:val="00CB615F"/>
    <w:rsid w:val="00CD70D9"/>
    <w:rsid w:val="00CD7CE4"/>
    <w:rsid w:val="00CD7EF7"/>
    <w:rsid w:val="00CE11B6"/>
    <w:rsid w:val="00CF0C98"/>
    <w:rsid w:val="00D00CD2"/>
    <w:rsid w:val="00D137C2"/>
    <w:rsid w:val="00D27DA1"/>
    <w:rsid w:val="00D40111"/>
    <w:rsid w:val="00D44DAF"/>
    <w:rsid w:val="00D50A70"/>
    <w:rsid w:val="00D53AFE"/>
    <w:rsid w:val="00D803F7"/>
    <w:rsid w:val="00D8511D"/>
    <w:rsid w:val="00DA6D1B"/>
    <w:rsid w:val="00DE1D39"/>
    <w:rsid w:val="00E07C53"/>
    <w:rsid w:val="00E20F9B"/>
    <w:rsid w:val="00E504A5"/>
    <w:rsid w:val="00E6005D"/>
    <w:rsid w:val="00E66E09"/>
    <w:rsid w:val="00E77F5C"/>
    <w:rsid w:val="00E91071"/>
    <w:rsid w:val="00E92479"/>
    <w:rsid w:val="00EC4F75"/>
    <w:rsid w:val="00ED5790"/>
    <w:rsid w:val="00EE21A3"/>
    <w:rsid w:val="00F16530"/>
    <w:rsid w:val="00F25DE5"/>
    <w:rsid w:val="00F30040"/>
    <w:rsid w:val="00F434CE"/>
    <w:rsid w:val="00F56B46"/>
    <w:rsid w:val="00F80581"/>
    <w:rsid w:val="00FB3209"/>
    <w:rsid w:val="00FD46EA"/>
    <w:rsid w:val="00FE7DA4"/>
    <w:rsid w:val="00FF46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8918AC7D-9226-456F-BCD3-C29A921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FootnoteText">
    <w:name w:val="footnote text"/>
    <w:aliases w:val="M Footnotes"/>
    <w:basedOn w:val="Normal"/>
    <w:link w:val="FootnoteTextChar"/>
    <w:uiPriority w:val="99"/>
    <w:unhideWhenUsed/>
    <w:qFormat/>
    <w:rsid w:val="00360212"/>
    <w:pPr>
      <w:spacing w:after="0" w:line="240" w:lineRule="auto"/>
    </w:pPr>
    <w:rPr>
      <w:sz w:val="20"/>
      <w:szCs w:val="20"/>
    </w:rPr>
  </w:style>
  <w:style w:type="character" w:customStyle="1" w:styleId="FootnoteTextChar">
    <w:name w:val="Footnote Text Char"/>
    <w:aliases w:val="M Footnotes Char"/>
    <w:basedOn w:val="DefaultParagraphFont"/>
    <w:link w:val="FootnoteText"/>
    <w:uiPriority w:val="99"/>
    <w:rsid w:val="00360212"/>
    <w:rPr>
      <w:sz w:val="20"/>
      <w:szCs w:val="20"/>
    </w:rPr>
  </w:style>
  <w:style w:type="character" w:styleId="Hyperlink">
    <w:name w:val="Hyperlink"/>
    <w:uiPriority w:val="99"/>
    <w:rsid w:val="00360212"/>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360212"/>
    <w:rPr>
      <w:vertAlign w:val="superscript"/>
    </w:rPr>
  </w:style>
  <w:style w:type="table" w:styleId="TableGrid">
    <w:name w:val="Table Grid"/>
    <w:basedOn w:val="TableNormal"/>
    <w:uiPriority w:val="39"/>
    <w:rsid w:val="00571FE6"/>
    <w:pPr>
      <w:spacing w:after="0" w:line="240" w:lineRule="auto"/>
    </w:pPr>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00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005D"/>
  </w:style>
  <w:style w:type="paragraph" w:styleId="Footer">
    <w:name w:val="footer"/>
    <w:basedOn w:val="Normal"/>
    <w:link w:val="FooterChar"/>
    <w:uiPriority w:val="99"/>
    <w:unhideWhenUsed/>
    <w:rsid w:val="00E600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0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extranjeros.empleo.gob.es/es/UnidadGrandesEmpresas/ley14_2013/documentacion/Informe_anual_de_la_Seccion_de_Movilidad_de_la_ley_14_2013.pdf" TargetMode="External"/><Relationship Id="rId3" Type="http://schemas.openxmlformats.org/officeDocument/2006/relationships/hyperlink" Target="https://www.boe.es/buscar/act.php?id=BOE-A-2011-7703" TargetMode="External"/><Relationship Id="rId7" Type="http://schemas.openxmlformats.org/officeDocument/2006/relationships/hyperlink" Target="https://expinterweb.empleo.gob.es/ley11/inicio/showTramites.action?procedimientoSel=200&amp;proc=5" TargetMode="External"/><Relationship Id="rId12" Type="http://schemas.openxmlformats.org/officeDocument/2006/relationships/hyperlink" Target="https://www.boe.es/buscar/act.php?id=BOE-A-2015-12047" TargetMode="External"/><Relationship Id="rId2" Type="http://schemas.openxmlformats.org/officeDocument/2006/relationships/hyperlink" Target="https://www.boe.es/buscar/act.php?id=BOE-A-2000-544" TargetMode="External"/><Relationship Id="rId1" Type="http://schemas.openxmlformats.org/officeDocument/2006/relationships/hyperlink" Target="https://www.boe.es/buscar/act.php?id=BOE-A-2013-10074" TargetMode="External"/><Relationship Id="rId6" Type="http://schemas.openxmlformats.org/officeDocument/2006/relationships/hyperlink" Target="https://www.boe.es/buscar/act.php?id=BOE-A-2010-6737" TargetMode="External"/><Relationship Id="rId11" Type="http://schemas.openxmlformats.org/officeDocument/2006/relationships/hyperlink" Target="https://boe.es/buscar/act.php?id=BOE-A-1889-4763" TargetMode="External"/><Relationship Id="rId5" Type="http://schemas.openxmlformats.org/officeDocument/2006/relationships/hyperlink" Target="https://www.elconfidencial.com/economia/paradise-papers/2017-11-06/papeles-paraiso-fiscal-legislacion-espana_1473396/" TargetMode="External"/><Relationship Id="rId10" Type="http://schemas.openxmlformats.org/officeDocument/2006/relationships/hyperlink" Target="http://www.minhafp.gob.es/es-ES/Normativa%20y%20doctrina/Normativa/CDI/Paginas/CDI_Alfa.aspx" TargetMode="External"/><Relationship Id="rId4" Type="http://schemas.openxmlformats.org/officeDocument/2006/relationships/hyperlink" Target="http://extranjeros.empleo.gob.es/es/UnidadGrandesEmpresas/index.html" TargetMode="External"/><Relationship Id="rId9" Type="http://schemas.openxmlformats.org/officeDocument/2006/relationships/hyperlink" Target="http://www.seg-social.es/Internet_1/Trabajadores/Afiliacion/Informaciongeneral/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8A90-6D30-41C3-9C0E-983439CE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3529</Words>
  <Characters>20117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3</cp:revision>
  <cp:lastPrinted>2018-08-22T08:51:00Z</cp:lastPrinted>
  <dcterms:created xsi:type="dcterms:W3CDTF">2018-09-17T10:55:00Z</dcterms:created>
  <dcterms:modified xsi:type="dcterms:W3CDTF">2018-09-17T10:58:00Z</dcterms:modified>
</cp:coreProperties>
</file>